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1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INFORMATION REQUIRED IN PROXY STATEMENT</w:t>
      </w:r>
    </w:p>
    <w:p>
      <w:pPr>
        <w:spacing w:after="0" w:line="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w:t>
      </w:r>
    </w:p>
    <w:p>
      <w:pPr>
        <w:spacing w:after="0" w:line="27" w:lineRule="exact"/>
        <w:rPr>
          <w:sz w:val="24"/>
          <w:szCs w:val="24"/>
          <w:color w:val="auto"/>
        </w:rPr>
      </w:pPr>
    </w:p>
    <w:p>
      <w:pPr>
        <w:ind w:left="3820"/>
        <w:spacing w:after="0"/>
        <w:tabs>
          <w:tab w:leader="none" w:pos="7340" w:val="left"/>
        </w:tabs>
        <w:rPr>
          <w:sz w:val="20"/>
          <w:szCs w:val="20"/>
          <w:color w:val="auto"/>
        </w:rPr>
      </w:pPr>
      <w:r>
        <w:rPr>
          <w:rFonts w:ascii="Times New Roman" w:cs="Times New Roman" w:eastAsia="Times New Roman" w:hAnsi="Times New Roman"/>
          <w:sz w:val="18"/>
          <w:szCs w:val="18"/>
          <w:color w:val="auto"/>
        </w:rPr>
        <w:t>Exchange Act of 1934 (Amendment No.</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4307205</wp:posOffset>
            </wp:positionH>
            <wp:positionV relativeFrom="paragraph">
              <wp:posOffset>-19050</wp:posOffset>
            </wp:positionV>
            <wp:extent cx="3714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1475" cy="8255"/>
                    </a:xfrm>
                    <a:prstGeom prst="rect">
                      <a:avLst/>
                    </a:prstGeom>
                    <a:noFill/>
                  </pic:spPr>
                </pic:pic>
              </a:graphicData>
            </a:graphic>
          </wp:anchor>
        </w:drawing>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9" w:lineRule="exact"/>
        <w:rPr>
          <w:sz w:val="24"/>
          <w:szCs w:val="24"/>
          <w:color w:val="auto"/>
        </w:rPr>
      </w:pPr>
    </w:p>
    <w:p>
      <w:pPr>
        <w:ind w:left="580" w:hanging="572"/>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7" w:lineRule="exact"/>
        <w:rPr>
          <w:rFonts w:ascii="Wingdings" w:cs="Wingdings" w:eastAsia="Wingdings" w:hAnsi="Wingdings"/>
          <w:sz w:val="18"/>
          <w:szCs w:val="18"/>
          <w:b w:val="1"/>
          <w:bCs w:val="1"/>
          <w:color w:val="auto"/>
        </w:rPr>
      </w:pPr>
    </w:p>
    <w:p>
      <w:pPr>
        <w:ind w:left="580" w:hanging="572"/>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Wingdings" w:cs="Wingdings" w:eastAsia="Wingdings" w:hAnsi="Wingdings"/>
          <w:sz w:val="18"/>
          <w:szCs w:val="18"/>
          <w:b w:val="1"/>
          <w:bCs w:val="1"/>
          <w:color w:val="auto"/>
        </w:rPr>
      </w:pPr>
    </w:p>
    <w:p>
      <w:pPr>
        <w:spacing w:after="0"/>
        <w:rPr>
          <w:rFonts w:ascii="Wingdings" w:cs="Wingdings" w:eastAsia="Wingdings" w:hAnsi="Wingdings"/>
          <w:sz w:val="18"/>
          <w:szCs w:val="18"/>
          <w:b w:val="1"/>
          <w:bCs w:val="1"/>
          <w:color w:val="auto"/>
        </w:rPr>
      </w:pP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Definitive Proxy Statement</w:t>
      </w:r>
    </w:p>
    <w:p>
      <w:pPr>
        <w:spacing w:after="0" w:line="9" w:lineRule="exact"/>
        <w:rPr>
          <w:rFonts w:ascii="Wingdings" w:cs="Wingdings" w:eastAsia="Wingdings" w:hAnsi="Wingdings"/>
          <w:sz w:val="18"/>
          <w:szCs w:val="18"/>
          <w:b w:val="1"/>
          <w:bCs w:val="1"/>
          <w:color w:val="auto"/>
        </w:rPr>
      </w:pPr>
    </w:p>
    <w:p>
      <w:pPr>
        <w:ind w:left="580" w:hanging="572"/>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Wingdings" w:cs="Wingdings" w:eastAsia="Wingdings" w:hAnsi="Wingdings"/>
          <w:sz w:val="18"/>
          <w:szCs w:val="18"/>
          <w:b w:val="1"/>
          <w:bCs w:val="1"/>
          <w:color w:val="auto"/>
        </w:rPr>
      </w:pPr>
    </w:p>
    <w:p>
      <w:pPr>
        <w:ind w:left="580" w:hanging="572"/>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§240.14a-12</w:t>
      </w:r>
    </w:p>
    <w:p>
      <w:pPr>
        <w:spacing w:after="0" w:line="37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34"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04" w:lineRule="exact"/>
        <w:rPr>
          <w:sz w:val="24"/>
          <w:szCs w:val="24"/>
          <w:color w:val="auto"/>
        </w:rPr>
      </w:pPr>
    </w:p>
    <w:p>
      <w:pPr>
        <w:ind w:left="580" w:hanging="572"/>
        <w:spacing w:after="0"/>
        <w:tabs>
          <w:tab w:leader="none" w:pos="5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104" w:lineRule="exact"/>
        <w:rPr>
          <w:sz w:val="24"/>
          <w:szCs w:val="24"/>
          <w:color w:val="auto"/>
        </w:rPr>
      </w:pPr>
    </w:p>
    <w:p>
      <w:pPr>
        <w:ind w:left="580" w:hanging="572"/>
        <w:spacing w:after="0"/>
        <w:tabs>
          <w:tab w:leader="none" w:pos="5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Wingdings" w:cs="Wingdings" w:eastAsia="Wingdings" w:hAnsi="Wingdings"/>
          <w:sz w:val="18"/>
          <w:szCs w:val="18"/>
          <w:b w:val="1"/>
          <w:bCs w:val="1"/>
          <w:color w:val="auto"/>
        </w:rPr>
      </w:pPr>
    </w:p>
    <w:p>
      <w:pPr>
        <w:ind w:left="580" w:hanging="572"/>
        <w:spacing w:after="0"/>
        <w:tabs>
          <w:tab w:leader="none" w:pos="5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1110615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7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2582545</wp:posOffset>
            </wp:positionH>
            <wp:positionV relativeFrom="page">
              <wp:posOffset>963295</wp:posOffset>
            </wp:positionV>
            <wp:extent cx="2383155"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383155" cy="29146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231F20"/>
        </w:rPr>
        <w:t>OFS CREDIT COMPANY, INC.</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222 West Adams Street, Suite 1850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Chicago, Illinois 60606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(847) 734-2085</w:t>
      </w:r>
    </w:p>
    <w:p>
      <w:pPr>
        <w:spacing w:after="0" w:line="207"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June 30, 2026</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231F20"/>
        </w:rPr>
        <w:t>You are cordially invited to attend the 2026 Annual Meeting of Stockholders of OFS Credit Company, Inc. (the “Annual Meeting”) to be held on Thursday, August 13, 2026 at 10:00 a.m., local time, at 222 West Adams Street, Suite 1850, Chicago, Illinois 60606.</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Notice of Annual Meeting and Proxy Statement on the following pages describe the matters to be presented at the Annual Meeting.</w:t>
      </w:r>
    </w:p>
    <w:p>
      <w:pPr>
        <w:spacing w:after="0" w:line="2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are providing access to our proxy materials online under the U.S. Securities and Exchange Commission’s “notice and access” rules. As a result, we are mailing to many of our stockholders a notice instead of a paper copy of this Proxy Statement. The notice contains instructions on how to access documents online. The notice also contains instructions on how stockholders can receive a paper copy of our materials, including this Proxy Statement, forms of proxy cards or voting instruction cards and our annual and semi-annual reports. Those who do not receive a notice, including stockholders who have previously requested to receive paper copies of proxy materials, will receive a paper copy by mail unless they have previously requested delivery of materials electronically. We believe that this distribution process is more resource conscious and cost efficient.</w:t>
      </w:r>
    </w:p>
    <w:p>
      <w:pPr>
        <w:spacing w:after="0" w:line="18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Your vote is important. Regardless of whether you participate in the Annual Meeting, we hope you vote as soon as possible. You may vote by proxy online or by phone, or, if you received paper copies of the proxy materials by mail, you may also vote by mail by following the instructions on the proxy cards or voting instruction cards. Voting online, by phone, written proxy, or voting instruction card ensures your representation at the Annual Meeting.</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Thank you for your ongoing support of, and continued interest in, OFS Credit Company, Inc.</w:t>
      </w:r>
    </w:p>
    <w:p>
      <w:pPr>
        <w:spacing w:after="0" w:line="1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231F20"/>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120015</wp:posOffset>
            </wp:positionV>
            <wp:extent cx="1337310"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373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231F20"/>
        </w:rPr>
        <w:t>Bilal Rashid</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231F20"/>
        </w:rPr>
        <w:t>Chairman of the Board of Directors, President and Chief Executive</w:t>
      </w:r>
    </w:p>
    <w:p>
      <w:pPr>
        <w:spacing w:after="0" w:line="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i w:val="1"/>
          <w:iCs w:val="1"/>
          <w:color w:val="231F20"/>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231F20"/>
        </w:rPr>
        <w:drawing>
          <wp:anchor simplePos="0" relativeHeight="251657728" behindDoc="1" locked="0" layoutInCell="0" allowOverlap="1">
            <wp:simplePos x="0" y="0"/>
            <wp:positionH relativeFrom="page">
              <wp:posOffset>2831465</wp:posOffset>
            </wp:positionH>
            <wp:positionV relativeFrom="page">
              <wp:posOffset>491490</wp:posOffset>
            </wp:positionV>
            <wp:extent cx="1885950" cy="2311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85950" cy="231140"/>
                    </a:xfrm>
                    <a:prstGeom prst="rect">
                      <a:avLst/>
                    </a:prstGeom>
                    <a:noFill/>
                  </pic:spPr>
                </pic:pic>
              </a:graphicData>
            </a:graphic>
          </wp:anchor>
        </w:drawing>
        <w:t>OFS CREDIT COMPANY,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222 West Adams Street, Suite 1850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Chicago, Illinois 60606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(847) 734-2085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151765</wp:posOffset>
            </wp:positionV>
            <wp:extent cx="25546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To Be Held On August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75565</wp:posOffset>
            </wp:positionV>
            <wp:extent cx="25717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Our Stockholders:</w:t>
      </w:r>
    </w:p>
    <w:p>
      <w:pPr>
        <w:spacing w:after="0" w:line="115"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7"/>
          <w:szCs w:val="17"/>
          <w:color w:val="auto"/>
        </w:rPr>
        <w:t xml:space="preserve">NOTICE IS HEREBY GIVEN that the 2026 Annual Meeting of Stockholders of OFS Credit Company, Inc., or the Annual Meeting, will be held </w:t>
      </w:r>
      <w:r>
        <w:rPr>
          <w:rFonts w:ascii="Times New Roman" w:cs="Times New Roman" w:eastAsia="Times New Roman" w:hAnsi="Times New Roman"/>
          <w:sz w:val="17"/>
          <w:szCs w:val="17"/>
          <w:color w:val="231F20"/>
        </w:rPr>
        <w:t>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Thursday, August 13, 2026 at 10:00 a.m., local time, at 222 West Adams Street, Suite 1850, Chicago, Illinois 60606. </w:t>
      </w:r>
      <w:r>
        <w:rPr>
          <w:rFonts w:ascii="Times New Roman" w:cs="Times New Roman" w:eastAsia="Times New Roman" w:hAnsi="Times New Roman"/>
          <w:sz w:val="17"/>
          <w:szCs w:val="17"/>
          <w:color w:val="000000"/>
        </w:rPr>
        <w:t>The purposes of the Annual Meeting are as</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follows:</w:t>
      </w:r>
    </w:p>
    <w:p>
      <w:pPr>
        <w:spacing w:after="0" w:line="68" w:lineRule="exact"/>
        <w:rPr>
          <w:sz w:val="20"/>
          <w:szCs w:val="20"/>
          <w:color w:val="auto"/>
        </w:rPr>
      </w:pPr>
    </w:p>
    <w:p>
      <w:pPr>
        <w:ind w:left="1140" w:hanging="383"/>
        <w:spacing w:after="0"/>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two (2) members to our board of directors to serve as Class II directors, as outlined below:</w:t>
      </w:r>
    </w:p>
    <w:p>
      <w:pPr>
        <w:spacing w:after="0" w:line="115" w:lineRule="exact"/>
        <w:rPr>
          <w:rFonts w:ascii="Times New Roman" w:cs="Times New Roman" w:eastAsia="Times New Roman" w:hAnsi="Times New Roman"/>
          <w:sz w:val="17"/>
          <w:szCs w:val="17"/>
          <w:color w:val="auto"/>
        </w:rPr>
      </w:pPr>
    </w:p>
    <w:p>
      <w:pPr>
        <w:jc w:val="both"/>
        <w:ind w:left="1500" w:hanging="369"/>
        <w:spacing w:after="0" w:line="255" w:lineRule="auto"/>
        <w:tabs>
          <w:tab w:leader="none" w:pos="150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director, Ms. Kate M. Fitta, to be elected by the holders of the Company’s outstanding common stock, par value $0.001 per share (“Common Stock”) and outstanding preferred stock, par value $0.001 per share (“Preferred Stock”), voting together as a single class, with such director to serve for a term of three years, or until her successor is duly elected and qualified; and</w:t>
      </w:r>
    </w:p>
    <w:p>
      <w:pPr>
        <w:spacing w:after="0" w:line="2" w:lineRule="exact"/>
        <w:rPr>
          <w:rFonts w:ascii="Times New Roman" w:cs="Times New Roman" w:eastAsia="Times New Roman" w:hAnsi="Times New Roman"/>
          <w:sz w:val="17"/>
          <w:szCs w:val="17"/>
          <w:color w:val="auto"/>
        </w:rPr>
      </w:pPr>
    </w:p>
    <w:p>
      <w:pPr>
        <w:ind w:left="1500" w:hanging="369"/>
        <w:spacing w:after="0" w:line="259" w:lineRule="auto"/>
        <w:tabs>
          <w:tab w:leader="none" w:pos="150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director, Ms. Romita Shetty, to be elected by the holders of the Company’s outstanding Preferred Stock, voting as a single class, with such director to serve for a term of three years, or until her successor is duly elected and qualified;</w:t>
      </w:r>
    </w:p>
    <w:p>
      <w:pPr>
        <w:spacing w:after="0" w:line="19" w:lineRule="exact"/>
        <w:rPr>
          <w:rFonts w:ascii="Times New Roman" w:cs="Times New Roman" w:eastAsia="Times New Roman" w:hAnsi="Times New Roman"/>
          <w:sz w:val="17"/>
          <w:szCs w:val="17"/>
          <w:color w:val="auto"/>
        </w:rPr>
      </w:pPr>
    </w:p>
    <w:p>
      <w:pPr>
        <w:ind w:left="1140" w:hanging="383"/>
        <w:spacing w:after="0"/>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selection of KPMG LLP as our independent registered public accounting firm for the fiscal year ending October 31, 2026; and</w:t>
      </w:r>
    </w:p>
    <w:p>
      <w:pPr>
        <w:spacing w:after="0" w:line="115" w:lineRule="exact"/>
        <w:rPr>
          <w:rFonts w:ascii="Times New Roman" w:cs="Times New Roman" w:eastAsia="Times New Roman" w:hAnsi="Times New Roman"/>
          <w:sz w:val="17"/>
          <w:szCs w:val="17"/>
          <w:color w:val="auto"/>
        </w:rPr>
      </w:pPr>
    </w:p>
    <w:p>
      <w:pPr>
        <w:ind w:left="1140" w:hanging="383"/>
        <w:spacing w:after="0"/>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Annual Meeting and any adjournments or postponements thereof.</w:t>
      </w:r>
    </w:p>
    <w:p>
      <w:pPr>
        <w:spacing w:after="0" w:line="115"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7"/>
          <w:szCs w:val="17"/>
          <w:color w:val="auto"/>
        </w:rPr>
        <w:t>Instead of mailing a paper copy of our proxy materials to all of our stockholders, we are providing access to our proxy materials over the Internet under the U.S. Securities and Exchange Commission’s “notice and access” rules. As a result, we are mailing to our stockholders a Notice of Internet Availability of Proxy Materials, or the Notice, instead of a paper copy of the proxy statement. A copy of our Annual Report on Form N-CSR for the fiscal year ended October 31, 2025 and a copy of our Semi-Annual Report on Form N-CSR for the six-month period ended April 30, 2026 were previously sent to stockholders and are available, without charge, upon request to OFS Credit Company, Inc., 222 West Adams Street, Suite 1850, Chicago, Illinois, 60606, Attention: Tod K. Reichert, Corporate Secretary, telephone: (847) 734-2085. We will mail the Notice on or about June 30, 2026, which contains instructions on how to access those documents over the Internet. The Notice also contains instructions on how each of our stockholders can receive a paper copy of our proxy materials, including this proxy statement and forms of proxy cards or voting instruction cards. All stockholders who do not receive the Notice, including stockholders who have previously requested to receive paper copies of proxy materials, will receive a paper copy of the proxy materials by mail unless they have previously requested delivery of proxy materials electronically. We have chosen to employ this distribution process to conserve natural resources and reduce the costs of printing and distributing our proxy materials.</w:t>
      </w:r>
    </w:p>
    <w:p>
      <w:pPr>
        <w:spacing w:after="0" w:line="87"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7"/>
          <w:szCs w:val="17"/>
          <w:color w:val="auto"/>
        </w:rPr>
        <w:t>Stockholders of record of our outstanding Common Stock and outstanding Preferred Stock at the close of business on Thursday, June 18, 2026 are entitled to notice of, and to vote at, the Annual Meeting or any adjournment thereof. A complete list of such stockholders will be open to the examination of any stockholder at our principal executive offices at 222 West Adams Street, Suite 1850, Chicago, Illinois 60606, during ordinary business hours, for a period of ten days prior to the Annual Meeting as well as at the Annual Meeting.</w:t>
      </w:r>
    </w:p>
    <w:p>
      <w:pPr>
        <w:spacing w:after="0" w:line="7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7"/>
          <w:szCs w:val="17"/>
          <w:color w:val="auto"/>
        </w:rPr>
        <w:t>Your vote is important no matter how many shares you own. Whether you expect to attend the Annual Meeting or not, please vote your shares by using the Internet as described in the instructions included in the Notice, by calling the toll-free telephone number, or, if you received a paper copy of the proxy materials, by completing, signing, dating and returning your proxy card(s) or voting instruction card(s). Your prompt response is necessary to ensure that your shares are represented at the Annual Meeting. You can change your vote and revoke your proxy at any time before the polls close at the Annual Meeting by following the procedures described in the accompanying proxy statement.</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All stockholders are cordially invited to attend the Annual Meeting.</w:t>
      </w:r>
    </w:p>
    <w:p>
      <w:pPr>
        <w:spacing w:after="0" w:line="21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86995</wp:posOffset>
            </wp:positionV>
            <wp:extent cx="1379855" cy="21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9855" cy="21463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color w:val="auto"/>
        </w:rPr>
        <w:t>Tod K. Reichert</w:t>
      </w:r>
    </w:p>
    <w:p>
      <w:pPr>
        <w:spacing w:after="0" w:line="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i w:val="1"/>
          <w:iCs w:val="1"/>
          <w:color w:val="auto"/>
        </w:rPr>
        <w:t>Corporate Secretary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Chicago, Illinois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222 WEST ADAMS STREET, SUITE 1850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ILLINOIS 60606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151765</wp:posOffset>
            </wp:positionV>
            <wp:extent cx="25546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80010</wp:posOffset>
            </wp:positionV>
            <wp:extent cx="25717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 the 2026 Annual Meeting of Stockholders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to be held on Thursday, August 13, 2026</w:t>
      </w:r>
    </w:p>
    <w:p>
      <w:pPr>
        <w:spacing w:after="0" w:line="9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231F20"/>
        </w:rPr>
        <w:t xml:space="preserve">This Proxy Statement is furnished in connection with the solicitation of proxies by the board of directors of OFS Credit Company, Inc., </w:t>
      </w:r>
      <w:r>
        <w:rPr>
          <w:rFonts w:ascii="Times New Roman" w:cs="Times New Roman" w:eastAsia="Times New Roman" w:hAnsi="Times New Roman"/>
          <w:sz w:val="18"/>
          <w:szCs w:val="18"/>
          <w:color w:val="000000"/>
        </w:rPr>
        <w:t>also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referred to in this proxy statement as the “Company,” “OFS Credit,” “we” or “us,” </w:t>
      </w:r>
      <w:r>
        <w:rPr>
          <w:rFonts w:ascii="Times New Roman" w:cs="Times New Roman" w:eastAsia="Times New Roman" w:hAnsi="Times New Roman"/>
          <w:sz w:val="18"/>
          <w:szCs w:val="18"/>
          <w:color w:val="231F20"/>
        </w:rPr>
        <w:t>for use at our 2026 Annual Meeting of Stockholders (the “Annual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Meeting”), to be held on Thursday, August 13, 2026 at 10:00 a.m., local time, at 222 West Adams Street, Suite 1850, Chicago, Illinois 60606, </w:t>
      </w:r>
      <w:r>
        <w:rPr>
          <w:rFonts w:ascii="Times New Roman" w:cs="Times New Roman" w:eastAsia="Times New Roman" w:hAnsi="Times New Roman"/>
          <w:sz w:val="18"/>
          <w:szCs w:val="18"/>
          <w:color w:val="000000"/>
        </w:rPr>
        <w:t>and at any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adjournment or postponement thereof. You may obtain directions to the location of the Annual Meeting by contacting Tod K. Reichert, Corporate Secretary, OFS Credit Company, Inc., </w:t>
      </w:r>
      <w:r>
        <w:rPr>
          <w:rFonts w:ascii="Times New Roman" w:cs="Times New Roman" w:eastAsia="Times New Roman" w:hAnsi="Times New Roman"/>
          <w:sz w:val="18"/>
          <w:szCs w:val="18"/>
          <w:color w:val="231F20"/>
        </w:rPr>
        <w:t>222 West Adams Street, Suite 1850, Chicago, Illinois 60606</w:t>
      </w:r>
      <w:r>
        <w:rPr>
          <w:rFonts w:ascii="Times New Roman" w:cs="Times New Roman" w:eastAsia="Times New Roman" w:hAnsi="Times New Roman"/>
          <w:sz w:val="18"/>
          <w:szCs w:val="18"/>
          <w:color w:val="000000"/>
        </w:rPr>
        <w:t>; telephone: (847) 734-2085.</w:t>
      </w:r>
    </w:p>
    <w:p>
      <w:pPr>
        <w:spacing w:after="0" w:line="7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All proxies will be voted in accordance with the instructions contained in those proxies. If no choice is specified, the proxies will be voted FOR the election of the director nominees of our board of directors and FOR the ratification of our independent public accounting firm. Any proxy may be revoked by a stockholder at any time before it is exercised by delivery of written revocation to our corporate secretary, by submission of a new, later-dated proxy or by appearing at the Annual Meeting and voting in person. See “— Changing Your Vote; Revocation of Proxy” below.</w:t>
      </w:r>
    </w:p>
    <w:p>
      <w:pPr>
        <w:spacing w:after="0" w:line="7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It is anticipated that the Notice of Internet Availability of Proxy Materials will first be sent to stockholders on or about June 30, 2026. This proxy statement, including the accompanying form of proxy, collectively referred to as the Proxy Statement, will first be made available to stockholders on or about June 30, 2026 on </w:t>
      </w:r>
      <w:r>
        <w:rPr>
          <w:rFonts w:ascii="Times New Roman" w:cs="Times New Roman" w:eastAsia="Times New Roman" w:hAnsi="Times New Roman"/>
          <w:sz w:val="18"/>
          <w:szCs w:val="18"/>
          <w:i w:val="1"/>
          <w:iCs w:val="1"/>
          <w:u w:val="single" w:color="auto"/>
          <w:color w:val="0563C1"/>
        </w:rPr>
        <w:t>www.proxyvote.com</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 copy of our Annual Report on Form N-CSR for the fiscal year ended October 31, 2025 (the “Annual Report”), and a copy of our Semi-Annual Report on Form N-CSR for the six-month period ended April 30, 2026 (the “Semi-Annual Report”), were previously sent to stockholders and will be furnished without charge to any stockholder upon written request to OFS Credit Company, Inc., 222 West Adams Street, Suite 1850, Chicago, Illinois 60606, Attention: Tod K. Reichert, Corporate Secretary, telephone: (847) 734-2085. The Annual Report, Semi-Annual Report and Proxy Statement can each be accessed online at </w:t>
      </w:r>
      <w:r>
        <w:rPr>
          <w:rFonts w:ascii="Times New Roman" w:cs="Times New Roman" w:eastAsia="Times New Roman" w:hAnsi="Times New Roman"/>
          <w:sz w:val="18"/>
          <w:szCs w:val="18"/>
          <w:b w:val="1"/>
          <w:bCs w:val="1"/>
          <w:i w:val="1"/>
          <w:iCs w:val="1"/>
          <w:u w:val="single" w:color="auto"/>
          <w:color w:val="auto"/>
        </w:rPr>
        <w:t>www.proxyvote.com</w:t>
      </w:r>
      <w:r>
        <w:rPr>
          <w:rFonts w:ascii="Times New Roman" w:cs="Times New Roman" w:eastAsia="Times New Roman" w:hAnsi="Times New Roman"/>
          <w:sz w:val="18"/>
          <w:szCs w:val="18"/>
          <w:b w:val="1"/>
          <w:bCs w:val="1"/>
          <w:color w:val="auto"/>
        </w:rPr>
        <w: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Securities</w:t>
      </w:r>
    </w:p>
    <w:p>
      <w:pPr>
        <w:spacing w:after="0" w:line="12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Stockholders of record (i.e., holders of shares of the Company’s outstanding common stock, par value $0.001 per share (“Common Stock”), or outstanding preferred stock, par value $0.001 per share (“Preferred Stock”)) at the close of business on Thursday, June 18, 2026 will be entitled to notice of, and to vote at, the Annual Meeting. On that date, 29,372,401 shares of our Common Stock were issued and outstanding and 3,596,000 shares of our Preferred Stock were issued and outstanding. Each share of Common Stock and Preferred Stock entitles the holder thereof to one vote with respect to all matters submitted to stockholders at the Annual Meeting. We have no other securities entitled to vote at the Annual Meeting. Stockholders have no dissenters’ or appraisal rights in connection with any of the proposals described herein.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and Vote Required</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The presence in person or representation by proxy of the holders of a majority of the shares of capital stock issued and outstanding and entitled to vote at the Annual Meeting is necessary to establish a quorum for the transaction of business. If a quorum is not present, the Annual Meeting will be adjourned until a quorum is obtained. Abstentions are included </w:t>
      </w:r>
      <w:r>
        <w:rPr>
          <w:rFonts w:ascii="Times New Roman" w:cs="Times New Roman" w:eastAsia="Times New Roman" w:hAnsi="Times New Roman"/>
          <w:sz w:val="18"/>
          <w:szCs w:val="18"/>
          <w:color w:val="231F20"/>
        </w:rPr>
        <w:t>in</w:t>
      </w:r>
      <w:r>
        <w:rPr>
          <w:rFonts w:ascii="Times New Roman" w:cs="Times New Roman" w:eastAsia="Times New Roman" w:hAnsi="Times New Roman"/>
          <w:sz w:val="18"/>
          <w:szCs w:val="18"/>
          <w:color w:val="auto"/>
        </w:rPr>
        <w:t xml:space="preserve"> the shares present at the Annual Meeting for purposes of determining whether a quorum is present but are not counted for purposes of determining whether a proposal has been approved and thus, have no effect on the outcome.</w:t>
      </w:r>
    </w:p>
    <w:p>
      <w:pPr>
        <w:spacing w:after="0" w:line="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If you hold shares of Common Stock or Preferred Stock through a broker or nominee, you must follow voting instructions you receive from your broker or nominee. If you hold shares of Common Stock or Preferred Stock through a broker or nominee and you want to vote in person at the Annual Meeting, you must obtain a legal proxy from the record holder of your shares and present it at the Annual Meeting. Please instruct your broker or nominee so your vote can be counted. In addition, shares held of record by brokers or nominees as to which voting instructions have not been received from the beneficial owners or the persons entitled to vote, will be entitled to vote at the Annual Meeting and will be treated as shares present for quorum purposes.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color w:val="auto"/>
        </w:rPr>
        <w:t>The table below sets forth the quorum requirements and votes required for each of the proposals to be presented at the Annual Meeting:</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19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92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Quorum Requirement</w:t>
            </w:r>
          </w:p>
        </w:tc>
        <w:tc>
          <w:tcPr>
            <w:tcW w:w="236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Vote Required</w:t>
            </w:r>
          </w:p>
        </w:tc>
        <w:tc>
          <w:tcPr>
            <w:tcW w:w="246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Broker Discretionary Voting</w:t>
            </w:r>
          </w:p>
        </w:tc>
        <w:tc>
          <w:tcPr>
            <w:tcW w:w="0" w:type="dxa"/>
            <w:vAlign w:val="bottom"/>
          </w:tcPr>
          <w:p>
            <w:pPr>
              <w:spacing w:after="0"/>
              <w:rPr>
                <w:sz w:val="1"/>
                <w:szCs w:val="1"/>
                <w:color w:val="auto"/>
              </w:rPr>
            </w:pPr>
          </w:p>
        </w:tc>
      </w:tr>
      <w:tr>
        <w:trPr>
          <w:trHeight w:val="173"/>
        </w:trPr>
        <w:tc>
          <w:tcPr>
            <w:tcW w:w="1360" w:type="dxa"/>
            <w:vAlign w:val="bottom"/>
            <w:tcBorders>
              <w:bottom w:val="single" w:sz="8" w:color="auto"/>
            </w:tcBorders>
            <w:vMerge w:val="continue"/>
          </w:tcPr>
          <w:p>
            <w:pPr>
              <w:spacing w:after="0"/>
              <w:rPr>
                <w:sz w:val="15"/>
                <w:szCs w:val="15"/>
                <w:color w:val="auto"/>
              </w:rPr>
            </w:pPr>
          </w:p>
        </w:tc>
        <w:tc>
          <w:tcPr>
            <w:tcW w:w="1900" w:type="dxa"/>
            <w:vAlign w:val="bottom"/>
            <w:tcBorders>
              <w:bottom w:val="single" w:sz="8" w:color="auto"/>
            </w:tcBorders>
            <w:vMerge w:val="continue"/>
          </w:tcPr>
          <w:p>
            <w:pPr>
              <w:spacing w:after="0"/>
              <w:rPr>
                <w:sz w:val="15"/>
                <w:szCs w:val="15"/>
                <w:color w:val="auto"/>
              </w:rPr>
            </w:pPr>
          </w:p>
        </w:tc>
        <w:tc>
          <w:tcPr>
            <w:tcW w:w="2920" w:type="dxa"/>
            <w:vAlign w:val="bottom"/>
            <w:tcBorders>
              <w:bottom w:val="single" w:sz="8" w:color="auto"/>
            </w:tcBorders>
            <w:vMerge w:val="continue"/>
          </w:tcPr>
          <w:p>
            <w:pPr>
              <w:spacing w:after="0"/>
              <w:rPr>
                <w:sz w:val="15"/>
                <w:szCs w:val="15"/>
                <w:color w:val="auto"/>
              </w:rPr>
            </w:pPr>
          </w:p>
        </w:tc>
        <w:tc>
          <w:tcPr>
            <w:tcW w:w="2360" w:type="dxa"/>
            <w:vAlign w:val="bottom"/>
            <w:tcBorders>
              <w:bottom w:val="single" w:sz="8" w:color="auto"/>
            </w:tcBorders>
            <w:vMerge w:val="continue"/>
          </w:tcPr>
          <w:p>
            <w:pPr>
              <w:spacing w:after="0"/>
              <w:rPr>
                <w:sz w:val="15"/>
                <w:szCs w:val="15"/>
                <w:color w:val="auto"/>
              </w:rPr>
            </w:pPr>
          </w:p>
        </w:tc>
        <w:tc>
          <w:tcPr>
            <w:tcW w:w="2460" w:type="dxa"/>
            <w:vAlign w:val="bottom"/>
            <w:tcBorders>
              <w:bottom w:val="single" w:sz="8" w:color="auto"/>
            </w:tcBorders>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Allowed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86270" cy="2082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86270" cy="208280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spacing w:after="0" w:line="18" w:lineRule="exact"/>
        <w:rPr>
          <w:sz w:val="20"/>
          <w:szCs w:val="20"/>
          <w:color w:val="auto"/>
        </w:rPr>
      </w:pPr>
    </w:p>
    <w:p>
      <w:pPr>
        <w:ind w:left="1380" w:hanging="836"/>
        <w:spacing w:after="0" w:line="261" w:lineRule="auto"/>
        <w:tabs>
          <w:tab w:leader="none" w:pos="1360" w:val="left"/>
        </w:tabs>
        <w:rPr>
          <w:sz w:val="20"/>
          <w:szCs w:val="20"/>
          <w:color w:val="auto"/>
        </w:rPr>
      </w:pPr>
      <w:r>
        <w:rPr>
          <w:rFonts w:ascii="Times New Roman" w:cs="Times New Roman" w:eastAsia="Times New Roman" w:hAnsi="Times New Roman"/>
          <w:sz w:val="14"/>
          <w:szCs w:val="14"/>
          <w:color w:val="auto"/>
        </w:rPr>
        <w:t>No. 1</w:t>
      </w:r>
      <w:r>
        <w:rPr>
          <w:sz w:val="20"/>
          <w:szCs w:val="20"/>
          <w:color w:val="auto"/>
        </w:rPr>
        <w:tab/>
      </w:r>
      <w:r>
        <w:rPr>
          <w:rFonts w:ascii="Times New Roman" w:cs="Times New Roman" w:eastAsia="Times New Roman" w:hAnsi="Times New Roman"/>
          <w:sz w:val="14"/>
          <w:szCs w:val="14"/>
          <w:color w:val="auto"/>
        </w:rPr>
        <w:t>Election of two (2) Class II directors.</w:t>
      </w:r>
    </w:p>
    <w:p>
      <w:pPr>
        <w:spacing w:after="0" w:line="20" w:lineRule="exact"/>
        <w:rPr>
          <w:sz w:val="20"/>
          <w:szCs w:val="20"/>
          <w:color w:val="auto"/>
        </w:rPr>
      </w:pPr>
      <w:r>
        <w:rPr>
          <w:sz w:val="20"/>
          <w:szCs w:val="20"/>
          <w:color w:val="auto"/>
        </w:rPr>
        <w:br w:type="column"/>
      </w:r>
    </w:p>
    <w:p>
      <w:pPr>
        <w:jc w:val="both"/>
        <w:spacing w:after="0" w:line="225" w:lineRule="auto"/>
        <w:rPr>
          <w:sz w:val="20"/>
          <w:szCs w:val="20"/>
          <w:color w:val="auto"/>
        </w:rPr>
      </w:pPr>
      <w:r>
        <w:rPr>
          <w:rFonts w:ascii="Times New Roman" w:cs="Times New Roman" w:eastAsia="Times New Roman" w:hAnsi="Times New Roman"/>
          <w:sz w:val="14"/>
          <w:szCs w:val="14"/>
          <w:color w:val="auto"/>
        </w:rPr>
        <w:t>The presence, in person or by proxy, of holders of a majority in voting power of the outstanding shares of Common Stock and Preferred Stock, voting together as a single class, entitled to vote at the Annual Meeting, except with respect to any such matter that, under applicable statutes or regulatory requirements, requires approval by a separate vote of one or more classes of stock, in which case the presence in person or by proxy of the holders of shares entitled to cast a majority of the votes entitled to be cast by each such class on such a matter shall constitute a quorum.</w:t>
      </w:r>
    </w:p>
    <w:p>
      <w:pPr>
        <w:spacing w:after="0" w:line="20" w:lineRule="exact"/>
        <w:rPr>
          <w:sz w:val="20"/>
          <w:szCs w:val="20"/>
          <w:color w:val="auto"/>
        </w:rPr>
      </w:pPr>
      <w:r>
        <w:rPr>
          <w:sz w:val="20"/>
          <w:szCs w:val="20"/>
          <w:color w:val="auto"/>
        </w:rPr>
        <w:br w:type="column"/>
      </w:r>
    </w:p>
    <w:p>
      <w:pPr>
        <w:spacing w:after="0"/>
        <w:tabs>
          <w:tab w:leader="none" w:pos="3780" w:val="left"/>
        </w:tabs>
        <w:rPr>
          <w:sz w:val="20"/>
          <w:szCs w:val="20"/>
          <w:color w:val="auto"/>
        </w:rPr>
      </w:pPr>
      <w:r>
        <w:rPr>
          <w:rFonts w:ascii="Times New Roman" w:cs="Times New Roman" w:eastAsia="Times New Roman" w:hAnsi="Times New Roman"/>
          <w:sz w:val="14"/>
          <w:szCs w:val="14"/>
          <w:color w:val="auto"/>
        </w:rPr>
        <w:t>For the election of Ms. Kate M. Fitta, the</w:t>
      </w:r>
      <w:r>
        <w:rPr>
          <w:sz w:val="20"/>
          <w:szCs w:val="20"/>
          <w:color w:val="auto"/>
        </w:rPr>
        <w:tab/>
      </w:r>
      <w:r>
        <w:rPr>
          <w:rFonts w:ascii="Times New Roman" w:cs="Times New Roman" w:eastAsia="Times New Roman" w:hAnsi="Times New Roman"/>
          <w:sz w:val="14"/>
          <w:szCs w:val="14"/>
          <w:color w:val="auto"/>
        </w:rPr>
        <w:t>Yes</w:t>
      </w:r>
    </w:p>
    <w:p>
      <w:pPr>
        <w:spacing w:after="0" w:line="226" w:lineRule="auto"/>
        <w:rPr>
          <w:sz w:val="20"/>
          <w:szCs w:val="20"/>
          <w:color w:val="auto"/>
        </w:rPr>
      </w:pPr>
      <w:r>
        <w:rPr>
          <w:rFonts w:ascii="Times New Roman" w:cs="Times New Roman" w:eastAsia="Times New Roman" w:hAnsi="Times New Roman"/>
          <w:sz w:val="14"/>
          <w:szCs w:val="14"/>
          <w:color w:val="auto"/>
        </w:rPr>
        <w:t>affirmative vote of the holders of a plurality of</w:t>
      </w:r>
    </w:p>
    <w:p>
      <w:pPr>
        <w:spacing w:after="0" w:line="222" w:lineRule="auto"/>
        <w:rPr>
          <w:sz w:val="20"/>
          <w:szCs w:val="20"/>
          <w:color w:val="auto"/>
        </w:rPr>
      </w:pPr>
      <w:r>
        <w:rPr>
          <w:rFonts w:ascii="Times New Roman" w:cs="Times New Roman" w:eastAsia="Times New Roman" w:hAnsi="Times New Roman"/>
          <w:sz w:val="14"/>
          <w:szCs w:val="14"/>
          <w:color w:val="auto"/>
        </w:rPr>
        <w:t>the  shares  of  Common  Stock  and  Preferred</w:t>
      </w:r>
    </w:p>
    <w:p>
      <w:pPr>
        <w:spacing w:after="0" w:line="221" w:lineRule="auto"/>
        <w:tabs>
          <w:tab w:leader="none" w:pos="480" w:val="left"/>
          <w:tab w:leader="none" w:pos="980" w:val="left"/>
          <w:tab w:leader="none" w:pos="1580" w:val="left"/>
          <w:tab w:leader="none" w:pos="1840" w:val="left"/>
          <w:tab w:leader="none" w:pos="2020" w:val="left"/>
          <w:tab w:leader="none" w:pos="2500" w:val="left"/>
        </w:tabs>
        <w:rPr>
          <w:sz w:val="20"/>
          <w:szCs w:val="20"/>
          <w:color w:val="auto"/>
        </w:rPr>
      </w:pPr>
      <w:r>
        <w:rPr>
          <w:rFonts w:ascii="Times New Roman" w:cs="Times New Roman" w:eastAsia="Times New Roman" w:hAnsi="Times New Roman"/>
          <w:sz w:val="14"/>
          <w:szCs w:val="14"/>
          <w:color w:val="auto"/>
        </w:rPr>
        <w:t>Stock,</w:t>
        <w:tab/>
        <w:t>voting</w:t>
        <w:tab/>
        <w:t>together</w:t>
        <w:tab/>
        <w:t>as</w:t>
        <w:tab/>
        <w:t>a</w:t>
        <w:tab/>
        <w:t>single</w:t>
        <w:tab/>
        <w:t>class,</w:t>
      </w:r>
    </w:p>
    <w:p>
      <w:pPr>
        <w:spacing w:after="0" w:line="221" w:lineRule="auto"/>
        <w:rPr>
          <w:sz w:val="20"/>
          <w:szCs w:val="20"/>
          <w:color w:val="auto"/>
        </w:rPr>
      </w:pPr>
      <w:r>
        <w:rPr>
          <w:rFonts w:ascii="Times New Roman" w:cs="Times New Roman" w:eastAsia="Times New Roman" w:hAnsi="Times New Roman"/>
          <w:sz w:val="14"/>
          <w:szCs w:val="14"/>
          <w:color w:val="auto"/>
        </w:rPr>
        <w:t>represented at the Annual Meeting, provided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quorum is present in person or by proxy.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election of Ms. Romita Shetty, the</w:t>
      </w:r>
    </w:p>
    <w:p>
      <w:pPr>
        <w:spacing w:after="0" w:line="226" w:lineRule="auto"/>
        <w:rPr>
          <w:sz w:val="20"/>
          <w:szCs w:val="20"/>
          <w:color w:val="auto"/>
        </w:rPr>
      </w:pPr>
      <w:r>
        <w:rPr>
          <w:rFonts w:ascii="Times New Roman" w:cs="Times New Roman" w:eastAsia="Times New Roman" w:hAnsi="Times New Roman"/>
          <w:sz w:val="14"/>
          <w:szCs w:val="14"/>
          <w:color w:val="auto"/>
        </w:rPr>
        <w:t>affirmative vote of the holders of a plurality of</w:t>
      </w:r>
    </w:p>
    <w:p>
      <w:pPr>
        <w:spacing w:after="0" w:line="222" w:lineRule="auto"/>
        <w:rPr>
          <w:sz w:val="20"/>
          <w:szCs w:val="20"/>
          <w:color w:val="auto"/>
        </w:rPr>
      </w:pPr>
      <w:r>
        <w:rPr>
          <w:rFonts w:ascii="Times New Roman" w:cs="Times New Roman" w:eastAsia="Times New Roman" w:hAnsi="Times New Roman"/>
          <w:sz w:val="14"/>
          <w:szCs w:val="14"/>
          <w:color w:val="auto"/>
        </w:rPr>
        <w:t>the shares of Preferred Stock, voting as a single</w:t>
      </w:r>
    </w:p>
    <w:p>
      <w:pPr>
        <w:spacing w:after="0" w:line="221" w:lineRule="auto"/>
        <w:tabs>
          <w:tab w:leader="none" w:pos="420" w:val="left"/>
          <w:tab w:leader="none" w:pos="1220" w:val="left"/>
          <w:tab w:leader="none" w:pos="1440" w:val="left"/>
          <w:tab w:leader="none" w:pos="1740" w:val="left"/>
          <w:tab w:leader="none" w:pos="2300" w:val="left"/>
        </w:tabs>
        <w:rPr>
          <w:sz w:val="20"/>
          <w:szCs w:val="20"/>
          <w:color w:val="auto"/>
        </w:rPr>
      </w:pPr>
      <w:r>
        <w:rPr>
          <w:rFonts w:ascii="Times New Roman" w:cs="Times New Roman" w:eastAsia="Times New Roman" w:hAnsi="Times New Roman"/>
          <w:sz w:val="14"/>
          <w:szCs w:val="14"/>
          <w:color w:val="auto"/>
        </w:rPr>
        <w:t>class,</w:t>
        <w:tab/>
        <w:t>represented</w:t>
        <w:tab/>
        <w:t>at</w:t>
        <w:tab/>
        <w:t>the</w:t>
        <w:tab/>
        <w:t>Annual</w:t>
        <w:tab/>
        <w:t>Meeting,</w:t>
      </w:r>
    </w:p>
    <w:p>
      <w:pPr>
        <w:spacing w:after="0" w:line="221" w:lineRule="auto"/>
        <w:rPr>
          <w:sz w:val="20"/>
          <w:szCs w:val="20"/>
          <w:color w:val="auto"/>
        </w:rPr>
      </w:pPr>
      <w:r>
        <w:rPr>
          <w:rFonts w:ascii="Times New Roman" w:cs="Times New Roman" w:eastAsia="Times New Roman" w:hAnsi="Times New Roman"/>
          <w:sz w:val="14"/>
          <w:szCs w:val="14"/>
          <w:color w:val="auto"/>
        </w:rPr>
        <w:t>provided a quorum of the holders of Preferred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 is present in person or by proxy.</w:t>
      </w:r>
    </w:p>
    <w:p>
      <w:pPr>
        <w:spacing w:after="0" w:line="286" w:lineRule="exact"/>
        <w:rPr>
          <w:sz w:val="20"/>
          <w:szCs w:val="20"/>
          <w:color w:val="auto"/>
        </w:rPr>
      </w:pPr>
    </w:p>
    <w:p>
      <w:pPr>
        <w:sectPr>
          <w:pgSz w:w="11900" w:h="16838" w:orient="portrait"/>
          <w:cols w:equalWidth="0" w:num="3">
            <w:col w:w="3280" w:space="200"/>
            <w:col w:w="2520" w:space="200"/>
            <w:col w:w="5040"/>
          </w:cols>
          <w:pgMar w:left="320" w:top="98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No. 2</w:t>
            </w:r>
          </w:p>
        </w:tc>
        <w:tc>
          <w:tcPr>
            <w:tcW w:w="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Ratification</w:t>
            </w:r>
          </w:p>
        </w:tc>
        <w:tc>
          <w:tcPr>
            <w:tcW w:w="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of the</w:t>
            </w:r>
          </w:p>
        </w:tc>
        <w:tc>
          <w:tcPr>
            <w:tcW w:w="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selection of</w:t>
            </w:r>
          </w:p>
        </w:tc>
      </w:tr>
      <w:tr>
        <w:trPr>
          <w:trHeight w:val="148"/>
        </w:trPr>
        <w:tc>
          <w:tcPr>
            <w:tcW w:w="580" w:type="dxa"/>
            <w:vAlign w:val="bottom"/>
          </w:tcPr>
          <w:p>
            <w:pPr>
              <w:spacing w:after="0"/>
              <w:rPr>
                <w:sz w:val="12"/>
                <w:szCs w:val="12"/>
                <w:color w:val="auto"/>
              </w:rPr>
            </w:pPr>
          </w:p>
        </w:tc>
        <w:tc>
          <w:tcPr>
            <w:tcW w:w="2180" w:type="dxa"/>
            <w:vAlign w:val="bottom"/>
            <w:gridSpan w:val="3"/>
          </w:tcPr>
          <w:p>
            <w:pPr>
              <w:ind w:left="260"/>
              <w:spacing w:after="0" w:line="149" w:lineRule="exact"/>
              <w:rPr>
                <w:sz w:val="20"/>
                <w:szCs w:val="20"/>
                <w:color w:val="auto"/>
              </w:rPr>
            </w:pPr>
            <w:r>
              <w:rPr>
                <w:rFonts w:ascii="Times New Roman" w:cs="Times New Roman" w:eastAsia="Times New Roman" w:hAnsi="Times New Roman"/>
                <w:sz w:val="14"/>
                <w:szCs w:val="14"/>
                <w:color w:val="auto"/>
              </w:rPr>
              <w:t>KPMG LLP as our independent</w:t>
            </w:r>
          </w:p>
        </w:tc>
      </w:tr>
      <w:tr>
        <w:trPr>
          <w:trHeight w:val="148"/>
        </w:trPr>
        <w:tc>
          <w:tcPr>
            <w:tcW w:w="580" w:type="dxa"/>
            <w:vAlign w:val="bottom"/>
          </w:tcPr>
          <w:p>
            <w:pPr>
              <w:spacing w:after="0"/>
              <w:rPr>
                <w:sz w:val="12"/>
                <w:szCs w:val="12"/>
                <w:color w:val="auto"/>
              </w:rPr>
            </w:pPr>
          </w:p>
        </w:tc>
        <w:tc>
          <w:tcPr>
            <w:tcW w:w="9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registered</w:t>
            </w:r>
          </w:p>
        </w:tc>
        <w:tc>
          <w:tcPr>
            <w:tcW w:w="4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public</w:t>
            </w:r>
          </w:p>
        </w:tc>
        <w:tc>
          <w:tcPr>
            <w:tcW w:w="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accounting</w:t>
            </w:r>
          </w:p>
        </w:tc>
      </w:tr>
      <w:tr>
        <w:trPr>
          <w:trHeight w:val="149"/>
        </w:trPr>
        <w:tc>
          <w:tcPr>
            <w:tcW w:w="580" w:type="dxa"/>
            <w:vAlign w:val="bottom"/>
          </w:tcPr>
          <w:p>
            <w:pPr>
              <w:spacing w:after="0"/>
              <w:rPr>
                <w:sz w:val="12"/>
                <w:szCs w:val="12"/>
                <w:color w:val="auto"/>
              </w:rPr>
            </w:pPr>
          </w:p>
        </w:tc>
        <w:tc>
          <w:tcPr>
            <w:tcW w:w="2180" w:type="dxa"/>
            <w:vAlign w:val="bottom"/>
            <w:gridSpan w:val="3"/>
          </w:tcPr>
          <w:p>
            <w:pPr>
              <w:ind w:left="260"/>
              <w:spacing w:after="0" w:line="149" w:lineRule="exact"/>
              <w:rPr>
                <w:sz w:val="20"/>
                <w:szCs w:val="20"/>
                <w:color w:val="auto"/>
              </w:rPr>
            </w:pPr>
            <w:r>
              <w:rPr>
                <w:rFonts w:ascii="Times New Roman" w:cs="Times New Roman" w:eastAsia="Times New Roman" w:hAnsi="Times New Roman"/>
                <w:sz w:val="14"/>
                <w:szCs w:val="14"/>
                <w:color w:val="auto"/>
              </w:rPr>
              <w:t>firm for the fiscal year ending</w:t>
            </w:r>
          </w:p>
        </w:tc>
      </w:tr>
      <w:tr>
        <w:trPr>
          <w:trHeight w:val="188"/>
        </w:trPr>
        <w:tc>
          <w:tcPr>
            <w:tcW w:w="580" w:type="dxa"/>
            <w:vAlign w:val="bottom"/>
          </w:tcPr>
          <w:p>
            <w:pPr>
              <w:spacing w:after="0"/>
              <w:rPr>
                <w:sz w:val="16"/>
                <w:szCs w:val="16"/>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October 31, 2026.</w:t>
            </w:r>
          </w:p>
        </w:tc>
        <w:tc>
          <w:tcPr>
            <w:tcW w:w="7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presence, in person or by proxy, of holders of a majority in voting power of the outstanding shares of Common Stock and Preferred Stock, voting together as single class, entitled to vote at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3800" w:val="left"/>
        </w:tabs>
        <w:rPr>
          <w:sz w:val="20"/>
          <w:szCs w:val="20"/>
          <w:color w:val="auto"/>
        </w:rPr>
      </w:pPr>
      <w:r>
        <w:rPr>
          <w:rFonts w:ascii="Times New Roman" w:cs="Times New Roman" w:eastAsia="Times New Roman" w:hAnsi="Times New Roman"/>
          <w:sz w:val="14"/>
          <w:szCs w:val="14"/>
          <w:color w:val="auto"/>
        </w:rPr>
        <w:t>The affirmative vote of the holders of a majority</w:t>
      </w:r>
      <w:r>
        <w:rPr>
          <w:sz w:val="20"/>
          <w:szCs w:val="20"/>
          <w:color w:val="auto"/>
        </w:rPr>
        <w:tab/>
      </w:r>
      <w:r>
        <w:rPr>
          <w:rFonts w:ascii="Times New Roman" w:cs="Times New Roman" w:eastAsia="Times New Roman" w:hAnsi="Times New Roman"/>
          <w:sz w:val="14"/>
          <w:szCs w:val="14"/>
          <w:color w:val="auto"/>
        </w:rPr>
        <w:t>Yes</w:t>
      </w:r>
    </w:p>
    <w:p>
      <w:pPr>
        <w:spacing w:after="0" w:line="226" w:lineRule="auto"/>
        <w:rPr>
          <w:sz w:val="20"/>
          <w:szCs w:val="20"/>
          <w:color w:val="auto"/>
        </w:rPr>
      </w:pPr>
      <w:r>
        <w:rPr>
          <w:rFonts w:ascii="Times New Roman" w:cs="Times New Roman" w:eastAsia="Times New Roman" w:hAnsi="Times New Roman"/>
          <w:sz w:val="14"/>
          <w:szCs w:val="14"/>
          <w:color w:val="auto"/>
        </w:rPr>
        <w:t>in voting power of the outstanding shares of</w:t>
      </w:r>
    </w:p>
    <w:p>
      <w:pPr>
        <w:spacing w:after="0" w:line="222" w:lineRule="auto"/>
        <w:rPr>
          <w:sz w:val="20"/>
          <w:szCs w:val="20"/>
          <w:color w:val="auto"/>
        </w:rPr>
      </w:pPr>
      <w:r>
        <w:rPr>
          <w:rFonts w:ascii="Times New Roman" w:cs="Times New Roman" w:eastAsia="Times New Roman" w:hAnsi="Times New Roman"/>
          <w:sz w:val="14"/>
          <w:szCs w:val="14"/>
          <w:color w:val="auto"/>
        </w:rPr>
        <w:t>Common  Stock  and  Preferred  Stock,  voting</w:t>
      </w:r>
    </w:p>
    <w:p>
      <w:pPr>
        <w:spacing w:after="0" w:line="221" w:lineRule="auto"/>
        <w:rPr>
          <w:sz w:val="20"/>
          <w:szCs w:val="20"/>
          <w:color w:val="auto"/>
        </w:rPr>
      </w:pPr>
      <w:r>
        <w:rPr>
          <w:rFonts w:ascii="Times New Roman" w:cs="Times New Roman" w:eastAsia="Times New Roman" w:hAnsi="Times New Roman"/>
          <w:sz w:val="14"/>
          <w:szCs w:val="14"/>
          <w:color w:val="auto"/>
        </w:rPr>
        <w:t>together as a single class, represented at the</w:t>
      </w:r>
    </w:p>
    <w:p>
      <w:pPr>
        <w:spacing w:after="0" w:line="221" w:lineRule="auto"/>
        <w:rPr>
          <w:sz w:val="20"/>
          <w:szCs w:val="20"/>
          <w:color w:val="auto"/>
        </w:rPr>
      </w:pPr>
      <w:r>
        <w:rPr>
          <w:rFonts w:ascii="Times New Roman" w:cs="Times New Roman" w:eastAsia="Times New Roman" w:hAnsi="Times New Roman"/>
          <w:sz w:val="14"/>
          <w:szCs w:val="14"/>
          <w:color w:val="auto"/>
        </w:rPr>
        <w:t>Annual Meeting and voting on this proposal,</w:t>
      </w:r>
    </w:p>
    <w:p>
      <w:pPr>
        <w:spacing w:after="0" w:line="222" w:lineRule="auto"/>
        <w:rPr>
          <w:sz w:val="20"/>
          <w:szCs w:val="20"/>
          <w:color w:val="auto"/>
        </w:rPr>
      </w:pPr>
      <w:r>
        <w:rPr>
          <w:rFonts w:ascii="Times New Roman" w:cs="Times New Roman" w:eastAsia="Times New Roman" w:hAnsi="Times New Roman"/>
          <w:sz w:val="14"/>
          <w:szCs w:val="14"/>
          <w:color w:val="auto"/>
        </w:rPr>
        <w:t>provided a quorum is present in person or by</w:t>
      </w:r>
    </w:p>
    <w:p>
      <w:pPr>
        <w:spacing w:after="0"/>
        <w:rPr>
          <w:sz w:val="20"/>
          <w:szCs w:val="20"/>
          <w:color w:val="auto"/>
        </w:rPr>
      </w:pPr>
      <w:r>
        <w:rPr>
          <w:rFonts w:ascii="Times New Roman" w:cs="Times New Roman" w:eastAsia="Times New Roman" w:hAnsi="Times New Roman"/>
          <w:sz w:val="14"/>
          <w:szCs w:val="14"/>
          <w:color w:val="auto"/>
        </w:rPr>
        <w:t>proxy.</w:t>
      </w:r>
    </w:p>
    <w:p>
      <w:pPr>
        <w:spacing w:after="0" w:line="200" w:lineRule="exact"/>
        <w:rPr>
          <w:sz w:val="20"/>
          <w:szCs w:val="20"/>
          <w:color w:val="auto"/>
        </w:rPr>
      </w:pPr>
    </w:p>
    <w:p>
      <w:pPr>
        <w:sectPr>
          <w:pgSz w:w="11900" w:h="16838" w:orient="portrait"/>
          <w:cols w:equalWidth="0" w:num="3">
            <w:col w:w="3300" w:space="180"/>
            <w:col w:w="2520" w:space="200"/>
            <w:col w:w="5040"/>
          </w:cols>
          <w:pgMar w:left="320" w:top="985" w:right="339" w:bottom="1440" w:gutter="0" w:footer="0" w:header="0"/>
          <w:type w:val="continuous"/>
        </w:sectPr>
      </w:pPr>
    </w:p>
    <w:p>
      <w:pPr>
        <w:spacing w:after="0" w:line="29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Election of Class II Directors. </w:t>
      </w:r>
      <w:r>
        <w:rPr>
          <w:rFonts w:ascii="Times New Roman" w:cs="Times New Roman" w:eastAsia="Times New Roman" w:hAnsi="Times New Roman"/>
          <w:sz w:val="18"/>
          <w:szCs w:val="18"/>
          <w:color w:val="auto"/>
        </w:rPr>
        <w:t>The election of a director requires the affirmative vote, in person or by proxy, of a plurality of the votes entitled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be cast on the matter. Ms. Kate M. Fitta must be elected by a plurality of the votes entitled to be cast at the Annual Meeting by holders of our outstanding Common Stock and Preferred Stock, voting together as a single class. Ms. Romita Shetty must be elected by a plurality of votes entitled to be cast at the Annual Meeting solely by holders of our outstanding Preferred Stock, voting as a single class. Stockholders may not cumulate their votes. Under plurality voting, a candidate receiving the highest number of votes will be elected, even if she receives a favorable vote of less than a majority of the Company’s outstanding capital stock. A proxy marked “withhold authority” with respect to a director nominee will result in such director nominee receiving one fewer “FOR” vote that would count towards a plurality. Because directors are elected by a plurality of the votes, an abstention will not be included in determining the number of votes cast and, as a result, will have no effect on this proposal. Since brokers or nominees will have discretionary authority to vote shares in the absence of voting instructions from stockholders, we expect that there will be no broker non-votes on this proposal.</w:t>
      </w:r>
    </w:p>
    <w:p>
      <w:pPr>
        <w:spacing w:after="0" w:line="80"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Ratification of Our Independent Registered Public Accounting Firm. </w:t>
      </w:r>
      <w:r>
        <w:rPr>
          <w:rFonts w:ascii="Times New Roman" w:cs="Times New Roman" w:eastAsia="Times New Roman" w:hAnsi="Times New Roman"/>
          <w:sz w:val="18"/>
          <w:szCs w:val="18"/>
          <w:color w:val="auto"/>
        </w:rPr>
        <w:t>The affirmative vote of a majority in voting power of the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Common Stock and Preferred Stock present in person or represented by proxy at the Annual Meeting and voting on this proposal is required to approve this proposal, provided a quorum is present in person or by proxy. An abstention from voting on this proposal will not be included in determining the number of votes cast and, as a result, will have no effect on the outcome of this proposal. Since brokers or nominees will have discretionary authority to vote shares in the absence of voting instructions from stockholders, we expect that there will be no broker non-votes.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Your Shares</w:t>
      </w:r>
    </w:p>
    <w:p>
      <w:pPr>
        <w:spacing w:after="0" w:line="121"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If you are the record holder of your shares, you may vote in one of four ways. You may vote by submitting your proxy by telephone, over the Internet, by mail or you may vote in person at the Annual Meeting.</w:t>
      </w:r>
    </w:p>
    <w:p>
      <w:pPr>
        <w:spacing w:after="0" w:line="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You may vote by telephone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may vote your shares by following the “Vote by Phone” instructions set forth on the enclosed proxy cards.</w:t>
      </w:r>
    </w:p>
    <w:p>
      <w:pPr>
        <w:spacing w:after="0" w:line="117"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vote over the Internet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you have Internet access, you may vote your shares from any location in the world by following the “Vote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Internet” instructions set forth on the enclosed proxy cards.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5" w:name="page6"/>
    <w:bookmarkEnd w:id="5"/>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You may vote by mail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may vote by completing, dating and signing the applicable proxy cards that accompany this proxy statement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promptly mailing them in the enclosed postage-paid envelope. You do not need to put a stamp on the enclosed envelope if you mail it in the United States. The shares you own will be voted according to the instructions on the proxy card(s) you mail. </w:t>
      </w:r>
      <w:r>
        <w:rPr>
          <w:rFonts w:ascii="Times New Roman" w:cs="Times New Roman" w:eastAsia="Times New Roman" w:hAnsi="Times New Roman"/>
          <w:sz w:val="18"/>
          <w:szCs w:val="18"/>
          <w:b w:val="1"/>
          <w:bCs w:val="1"/>
          <w:color w:val="auto"/>
        </w:rPr>
        <w:t>If you return the proxy card(s), but do not give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instructions on a particular matter described in this proxy statement, the shares you own will be voted in accordance with the recommendations of our board of directors. </w:t>
      </w:r>
      <w:r>
        <w:rPr>
          <w:rFonts w:ascii="Times New Roman" w:cs="Times New Roman" w:eastAsia="Times New Roman" w:hAnsi="Times New Roman"/>
          <w:sz w:val="18"/>
          <w:szCs w:val="18"/>
          <w:color w:val="auto"/>
        </w:rPr>
        <w:t>Our board of directors recommends that you vote FOR the director nominees of our board of directors and FOR the ratification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independent public accounting firm.</w:t>
      </w:r>
    </w:p>
    <w:p>
      <w:pPr>
        <w:spacing w:after="0" w:line="74"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vote in person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you attend the Annual Meeting and are a registered stockholder, you may vote by delivering your completed proxy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cards in person or you may vote by completing a ballot. Ballots will be available at the Annual Meeting. If you hold your shares through a bank or broker, you must obtain a legal proxy from your bank or broker in order to vote at the Annual Meeting.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Changing Your Vote; Revocation of Proxy</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Voting by telephone, over the Internet or execution of a proxy will not in any way affect a stockholder’s right to attend the Annual Meeting and vote in person. A proxy may be revoked before it is used to cast a vote. To revoke a proxy, a stockholder must:</w:t>
      </w:r>
    </w:p>
    <w:p>
      <w:pPr>
        <w:spacing w:after="0" w:line="54" w:lineRule="exact"/>
        <w:rPr>
          <w:sz w:val="20"/>
          <w:szCs w:val="20"/>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our corporate secretary, at or before the taking of the vote, a written notice of revocation bearing a later date than the proxy;</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 a later dated proxy relating to the same shares and deliver it to our corporate secretary before the taking of the vote; or</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Annual Meeting and vote in person.</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Attendance at the Annual Meeting, if a stockholder does not vote at the Annual Meeting, will not be sufficient to revoke a proxy.</w:t>
      </w:r>
    </w:p>
    <w:p>
      <w:pPr>
        <w:spacing w:after="0" w:line="11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Any written notice of revocation or subsequent proxy should be sent to us at the following address: OFS Credit Company, Inc., </w:t>
      </w:r>
      <w:r>
        <w:rPr>
          <w:rFonts w:ascii="Times New Roman" w:cs="Times New Roman" w:eastAsia="Times New Roman" w:hAnsi="Times New Roman"/>
          <w:sz w:val="18"/>
          <w:szCs w:val="18"/>
          <w:color w:val="231F20"/>
        </w:rPr>
        <w:t>222 West Adams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Street, Suite 1850, Chicago, Illinois 60606</w:t>
      </w:r>
      <w:r>
        <w:rPr>
          <w:rFonts w:ascii="Times New Roman" w:cs="Times New Roman" w:eastAsia="Times New Roman" w:hAnsi="Times New Roman"/>
          <w:sz w:val="18"/>
          <w:szCs w:val="18"/>
          <w:color w:val="000000"/>
        </w:rPr>
        <w:t>, Attention: Tod K. Reichert, Corporate Secretary. The shares represented by all properly executed proxies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received in time for the Annual Meeting will be voted as specified in those proxies.</w:t>
      </w:r>
    </w:p>
    <w:p>
      <w:pPr>
        <w:spacing w:after="0" w:line="6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If the shares you own are held in your name and you do not specify on the proxy card(s) how your shares are to be voted, they will be voted FOR: (i) the election of the director nominees named in this proxy statement and recommended by our board of directors; (ii) the ratification of the selection of KPMG LLP as our independent registered public accounting firm for the fiscal year ending October 31, 2026; and (iii) any other items that may properly come before the Annual Meeting in the discretion of the persons appointed as proxies.</w:t>
      </w:r>
    </w:p>
    <w:p>
      <w:pPr>
        <w:spacing w:after="0" w:line="7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If the shares you own are held in “street name,” the bank or brokerage firm, as the record holder of your shares, is required to vote your shares in accordance with your instructions. To vote your shares held in “street name,” you will need to follow the directions provided to you by your bank or brokerage firm.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This Solicitation</w:t>
      </w:r>
    </w:p>
    <w:p>
      <w:pPr>
        <w:spacing w:after="0" w:line="12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The accompanying proxy is solicited by and on behalf of our board of directors, and we, and therefore, indirectly, our stockholders, will bear the expense of the solicitation of proxies for the Annual Meeting, including the cost of preparing, printing and mailing </w:t>
      </w:r>
      <w:r>
        <w:rPr>
          <w:rFonts w:ascii="Times New Roman" w:cs="Times New Roman" w:eastAsia="Times New Roman" w:hAnsi="Times New Roman"/>
          <w:sz w:val="18"/>
          <w:szCs w:val="18"/>
          <w:color w:val="231F20"/>
        </w:rPr>
        <w:t>the Notice of Internet Availability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Proxy Materials, </w:t>
      </w:r>
      <w:r>
        <w:rPr>
          <w:rFonts w:ascii="Times New Roman" w:cs="Times New Roman" w:eastAsia="Times New Roman" w:hAnsi="Times New Roman"/>
          <w:sz w:val="18"/>
          <w:szCs w:val="18"/>
          <w:color w:val="000000"/>
        </w:rPr>
        <w:t>this proxy statement, the accompanying Notice of Annual Meeting of Stockholders and proxy cards, and our Annual Report and Semi-Annual Report. Proxies may be solicited on our behalf by our directors, officers or employees in person or by telephone, electronic transmission and/or facsimile transmission.</w:t>
      </w:r>
    </w:p>
    <w:p>
      <w:pPr>
        <w:spacing w:after="0" w:line="7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IF YOU PLAN TO ATTEND THE ANNUAL MEETING AND VOTE YOUR SHARES OF THE COMPANY’S COMMON STOCK OR PREFERRED STOCK IN PERSON, YOU WILL NEED TO BRING PHOTO IDENTIFICATION IN ORDER TO BE ADMITTED TO THE ANNUAL MEETING.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RELATED STOCKHOLDER MATTERS</w:t>
      </w:r>
    </w:p>
    <w:p>
      <w:pPr>
        <w:spacing w:after="0" w:line="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Common Stock and Preferred Stock as of June 18, 2026 by:</w:t>
      </w:r>
    </w:p>
    <w:p>
      <w:pPr>
        <w:spacing w:after="0" w:line="117" w:lineRule="exact"/>
        <w:rPr>
          <w:sz w:val="20"/>
          <w:szCs w:val="20"/>
          <w:color w:val="auto"/>
        </w:rPr>
      </w:pPr>
    </w:p>
    <w:p>
      <w:pPr>
        <w:jc w:val="both"/>
        <w:ind w:left="1140" w:hanging="383"/>
        <w:spacing w:after="0" w:line="257"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to us to be the beneficial owner of more than 5% of the outstanding shares of our Common Stock or Preferred Stock as of such date, based on currently available Schedules 13D and 13G filed with the U.S. Securities and Exchange Commission (the “SEC”);</w:t>
      </w:r>
    </w:p>
    <w:p>
      <w:pPr>
        <w:spacing w:after="0" w:line="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(which includes our nominees);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officers as a group.</w:t>
      </w:r>
    </w:p>
    <w:p>
      <w:pPr>
        <w:spacing w:after="0" w:line="9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number of shares of Common Stock or Preferred Stock beneficially owned by each person or entity is determined in accordance with the applicable rules of the SEC. These rules generally provide that a person is the beneficial owner of securities if such person has or shares the power to vote or direct the voting thereof, or to dispose or direct the disposition thereof or has the right to acquire such powers within 60 days. The information is not necessarily indicative of beneficial ownership for any other purpose. Unless otherwise indicated, to our knowledge, all persons named in the table have sole voting and investment power with respect to their applicable shares, except to the extent authority is shared by spouses under state community property laws. The Company’s directors are divided into two groups — independent directors and interested directors. Interested directors are “interested persons” of OFS Credit Company, Inc. as defined in Section 2(a)(19) of the Investment Company Act of 1940, as amended (the “1940 Act”). Unless otherwise indicated, the address of all officers and directors is c/o OFS Credit Company, Inc., 222 West Adams Street, Suite 1850, Chicago, Illinois 60606. The inclusion of any shares deemed beneficially owned in this table does not constitute an admission of beneficial ownership of those shares.</w:t>
      </w:r>
    </w:p>
    <w:p>
      <w:pPr>
        <w:spacing w:after="0" w:line="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There were, as of June 18, 2026, approximately five holders of record and 14,831 beneficial holders of our Common Stock and approximately three holders of record and 3,775 beneficial holders of our Preferred Stock.</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Aggregate Dollar</w:t>
            </w:r>
          </w:p>
        </w:tc>
      </w:tr>
      <w:tr>
        <w:trPr>
          <w:trHeight w:val="148"/>
        </w:trPr>
        <w:tc>
          <w:tcPr>
            <w:tcW w:w="27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Dollar Range of</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Range of Equity</w:t>
            </w:r>
          </w:p>
        </w:tc>
      </w:tr>
      <w:tr>
        <w:trPr>
          <w:trHeight w:val="149"/>
        </w:trPr>
        <w:tc>
          <w:tcPr>
            <w:tcW w:w="2700" w:type="dxa"/>
            <w:vAlign w:val="bottom"/>
          </w:tcPr>
          <w:p>
            <w:pPr>
              <w:spacing w:after="0"/>
              <w:rPr>
                <w:sz w:val="12"/>
                <w:szCs w:val="12"/>
                <w:color w:val="auto"/>
              </w:rPr>
            </w:pPr>
          </w:p>
        </w:tc>
        <w:tc>
          <w:tcPr>
            <w:tcW w:w="1240" w:type="dxa"/>
            <w:vAlign w:val="bottom"/>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Total Number</w:t>
            </w:r>
          </w:p>
        </w:tc>
        <w:tc>
          <w:tcPr>
            <w:tcW w:w="1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 Number</w:t>
            </w:r>
          </w:p>
        </w:tc>
        <w:tc>
          <w:tcPr>
            <w:tcW w:w="1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 in the</w:t>
            </w:r>
          </w:p>
        </w:tc>
      </w:tr>
      <w:tr>
        <w:trPr>
          <w:trHeight w:val="148"/>
        </w:trPr>
        <w:tc>
          <w:tcPr>
            <w:tcW w:w="2700" w:type="dxa"/>
            <w:vAlign w:val="bottom"/>
          </w:tcPr>
          <w:p>
            <w:pPr>
              <w:spacing w:after="0"/>
              <w:rPr>
                <w:sz w:val="12"/>
                <w:szCs w:val="12"/>
                <w:color w:val="auto"/>
              </w:rPr>
            </w:pPr>
          </w:p>
        </w:tc>
        <w:tc>
          <w:tcPr>
            <w:tcW w:w="1240" w:type="dxa"/>
            <w:vAlign w:val="bottom"/>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of Shares of</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Dollar Range of</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Shares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Beneficially</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Fund Complex</w:t>
            </w:r>
          </w:p>
        </w:tc>
      </w:tr>
      <w:tr>
        <w:trPr>
          <w:trHeight w:val="148"/>
        </w:trPr>
        <w:tc>
          <w:tcPr>
            <w:tcW w:w="2700" w:type="dxa"/>
            <w:vAlign w:val="bottom"/>
          </w:tcPr>
          <w:p>
            <w:pPr>
              <w:spacing w:after="0"/>
              <w:rPr>
                <w:sz w:val="12"/>
                <w:szCs w:val="12"/>
                <w:color w:val="auto"/>
              </w:rPr>
            </w:pPr>
          </w:p>
        </w:tc>
        <w:tc>
          <w:tcPr>
            <w:tcW w:w="1240" w:type="dxa"/>
            <w:vAlign w:val="bottom"/>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Owned by</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Beneficially Owned</w:t>
            </w:r>
          </w:p>
        </w:tc>
      </w:tr>
      <w:tr>
        <w:trPr>
          <w:trHeight w:val="149"/>
        </w:trPr>
        <w:tc>
          <w:tcPr>
            <w:tcW w:w="2700" w:type="dxa"/>
            <w:vAlign w:val="bottom"/>
          </w:tcPr>
          <w:p>
            <w:pPr>
              <w:spacing w:after="0"/>
              <w:rPr>
                <w:sz w:val="12"/>
                <w:szCs w:val="12"/>
                <w:color w:val="auto"/>
              </w:rPr>
            </w:pPr>
          </w:p>
        </w:tc>
        <w:tc>
          <w:tcPr>
            <w:tcW w:w="1240" w:type="dxa"/>
            <w:vAlign w:val="bottom"/>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Beneficially</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Beneficially</w:t>
            </w: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Beneficially Owned</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Beneficially</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Beneficially</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Directors (2)(3)</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by Directors (2)(3)</w:t>
            </w:r>
          </w:p>
        </w:tc>
      </w:tr>
      <w:tr>
        <w:trPr>
          <w:trHeight w:val="165"/>
        </w:trPr>
        <w:tc>
          <w:tcPr>
            <w:tcW w:w="2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Name and Address of Beneficial Owner</w:t>
            </w:r>
          </w:p>
        </w:tc>
        <w:tc>
          <w:tcPr>
            <w:tcW w:w="1240" w:type="dxa"/>
            <w:vAlign w:val="bottom"/>
            <w:tcBorders>
              <w:bottom w:val="single" w:sz="8" w:color="auto"/>
            </w:tcBorders>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rPr>
              <w:t>Owned</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Owned(1)</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by Directors(2)(3)(4)</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Owned</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Owned(1)</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(4)</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(4)</w:t>
            </w:r>
          </w:p>
        </w:tc>
      </w:tr>
      <w:tr>
        <w:trPr>
          <w:trHeight w:val="125"/>
        </w:trPr>
        <w:tc>
          <w:tcPr>
            <w:tcW w:w="2700" w:type="dxa"/>
            <w:vAlign w:val="bottom"/>
            <w:shd w:val="clear" w:color="auto" w:fill="CCECFF"/>
          </w:tcPr>
          <w:p>
            <w:pPr>
              <w:ind w:left="100"/>
              <w:spacing w:after="0" w:line="126" w:lineRule="exact"/>
              <w:rPr>
                <w:sz w:val="20"/>
                <w:szCs w:val="20"/>
                <w:color w:val="auto"/>
              </w:rPr>
            </w:pPr>
            <w:r>
              <w:rPr>
                <w:rFonts w:ascii="Times New Roman" w:cs="Times New Roman" w:eastAsia="Times New Roman" w:hAnsi="Times New Roman"/>
                <w:sz w:val="13"/>
                <w:szCs w:val="13"/>
                <w:b w:val="1"/>
                <w:bCs w:val="1"/>
                <w:i w:val="1"/>
                <w:iCs w:val="1"/>
                <w:color w:val="auto"/>
              </w:rPr>
              <w:t>Holders of more than 5% of our Preferred</w:t>
            </w:r>
          </w:p>
        </w:tc>
        <w:tc>
          <w:tcPr>
            <w:tcW w:w="1240" w:type="dxa"/>
            <w:vAlign w:val="bottom"/>
            <w:shd w:val="clear" w:color="auto" w:fill="CCECFF"/>
          </w:tcPr>
          <w:p>
            <w:pPr>
              <w:spacing w:after="0"/>
              <w:rPr>
                <w:sz w:val="10"/>
                <w:szCs w:val="10"/>
                <w:color w:val="auto"/>
              </w:rPr>
            </w:pPr>
          </w:p>
        </w:tc>
        <w:tc>
          <w:tcPr>
            <w:tcW w:w="1140" w:type="dxa"/>
            <w:vAlign w:val="bottom"/>
            <w:shd w:val="clear" w:color="auto" w:fill="CCECFF"/>
          </w:tcPr>
          <w:p>
            <w:pPr>
              <w:spacing w:after="0"/>
              <w:rPr>
                <w:sz w:val="10"/>
                <w:szCs w:val="10"/>
                <w:color w:val="auto"/>
              </w:rPr>
            </w:pPr>
          </w:p>
        </w:tc>
        <w:tc>
          <w:tcPr>
            <w:tcW w:w="1440" w:type="dxa"/>
            <w:vAlign w:val="bottom"/>
            <w:shd w:val="clear" w:color="auto" w:fill="CCECFF"/>
          </w:tcPr>
          <w:p>
            <w:pPr>
              <w:spacing w:after="0"/>
              <w:rPr>
                <w:sz w:val="10"/>
                <w:szCs w:val="10"/>
                <w:color w:val="auto"/>
              </w:rPr>
            </w:pPr>
          </w:p>
        </w:tc>
        <w:tc>
          <w:tcPr>
            <w:tcW w:w="114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1120" w:type="dxa"/>
            <w:vAlign w:val="bottom"/>
            <w:shd w:val="clear" w:color="auto" w:fill="CCECFF"/>
          </w:tcPr>
          <w:p>
            <w:pPr>
              <w:spacing w:after="0"/>
              <w:rPr>
                <w:sz w:val="10"/>
                <w:szCs w:val="10"/>
                <w:color w:val="auto"/>
              </w:rPr>
            </w:pPr>
          </w:p>
        </w:tc>
        <w:tc>
          <w:tcPr>
            <w:tcW w:w="1340" w:type="dxa"/>
            <w:vAlign w:val="bottom"/>
            <w:shd w:val="clear" w:color="auto" w:fill="CCECFF"/>
          </w:tcPr>
          <w:p>
            <w:pPr>
              <w:spacing w:after="0"/>
              <w:rPr>
                <w:sz w:val="10"/>
                <w:szCs w:val="10"/>
                <w:color w:val="auto"/>
              </w:rPr>
            </w:pPr>
          </w:p>
        </w:tc>
      </w:tr>
      <w:tr>
        <w:trPr>
          <w:trHeight w:val="165"/>
        </w:trPr>
        <w:tc>
          <w:tcPr>
            <w:tcW w:w="27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b w:val="1"/>
                <w:bCs w:val="1"/>
                <w:i w:val="1"/>
                <w:iCs w:val="1"/>
                <w:color w:val="auto"/>
              </w:rPr>
              <w:t>Stock:</w:t>
            </w:r>
          </w:p>
        </w:tc>
        <w:tc>
          <w:tcPr>
            <w:tcW w:w="124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144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1120" w:type="dxa"/>
            <w:vAlign w:val="bottom"/>
            <w:shd w:val="clear" w:color="auto" w:fill="CCECFF"/>
          </w:tcPr>
          <w:p>
            <w:pPr>
              <w:spacing w:after="0"/>
              <w:rPr>
                <w:sz w:val="14"/>
                <w:szCs w:val="14"/>
                <w:color w:val="auto"/>
              </w:rPr>
            </w:pPr>
          </w:p>
        </w:tc>
        <w:tc>
          <w:tcPr>
            <w:tcW w:w="1120" w:type="dxa"/>
            <w:vAlign w:val="bottom"/>
            <w:shd w:val="clear" w:color="auto" w:fill="CCECFF"/>
          </w:tcPr>
          <w:p>
            <w:pPr>
              <w:spacing w:after="0"/>
              <w:rPr>
                <w:sz w:val="14"/>
                <w:szCs w:val="14"/>
                <w:color w:val="auto"/>
              </w:rPr>
            </w:pPr>
          </w:p>
        </w:tc>
        <w:tc>
          <w:tcPr>
            <w:tcW w:w="1340" w:type="dxa"/>
            <w:vAlign w:val="bottom"/>
            <w:shd w:val="clear" w:color="auto" w:fill="CCECFF"/>
          </w:tcPr>
          <w:p>
            <w:pPr>
              <w:spacing w:after="0"/>
              <w:rPr>
                <w:sz w:val="14"/>
                <w:szCs w:val="14"/>
                <w:color w:val="auto"/>
              </w:rPr>
            </w:pPr>
          </w:p>
        </w:tc>
      </w:tr>
      <w:tr>
        <w:trPr>
          <w:trHeight w:val="136"/>
        </w:trPr>
        <w:tc>
          <w:tcPr>
            <w:tcW w:w="270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Thomas J. Herzfeld Advisors, Inc.</w:t>
            </w:r>
          </w:p>
        </w:tc>
        <w:tc>
          <w:tcPr>
            <w:tcW w:w="1240" w:type="dxa"/>
            <w:vAlign w:val="bottom"/>
          </w:tcPr>
          <w:p>
            <w:pPr>
              <w:jc w:val="center"/>
              <w:ind w:left="93"/>
              <w:spacing w:after="0" w:line="136" w:lineRule="exact"/>
              <w:rPr>
                <w:sz w:val="20"/>
                <w:szCs w:val="20"/>
                <w:color w:val="auto"/>
              </w:rPr>
            </w:pPr>
            <w:r>
              <w:rPr>
                <w:rFonts w:ascii="Times New Roman" w:cs="Times New Roman" w:eastAsia="Times New Roman" w:hAnsi="Times New Roman"/>
                <w:sz w:val="13"/>
                <w:szCs w:val="13"/>
                <w:color w:val="auto"/>
              </w:rPr>
              <w:t>0</w:t>
            </w:r>
          </w:p>
        </w:tc>
        <w:tc>
          <w:tcPr>
            <w:tcW w:w="11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N/A</w:t>
            </w:r>
          </w:p>
        </w:tc>
        <w:tc>
          <w:tcPr>
            <w:tcW w:w="1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w w:val="98"/>
              </w:rPr>
              <w:t>N/A</w:t>
            </w:r>
          </w:p>
        </w:tc>
        <w:tc>
          <w:tcPr>
            <w:tcW w:w="11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1,000,000</w:t>
            </w: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27.80%</w:t>
            </w: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N/A</w:t>
            </w:r>
          </w:p>
        </w:tc>
        <w:tc>
          <w:tcPr>
            <w:tcW w:w="13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w w:val="98"/>
              </w:rPr>
              <w:t>N/A</w:t>
            </w:r>
          </w:p>
        </w:tc>
      </w:tr>
      <w:tr>
        <w:trPr>
          <w:trHeight w:val="149"/>
        </w:trPr>
        <w:tc>
          <w:tcPr>
            <w:tcW w:w="2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119 Washington Avenue, Suite 504 Miami</w:t>
            </w: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61"/>
        </w:trPr>
        <w:tc>
          <w:tcPr>
            <w:tcW w:w="2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Beach, FL 33139</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36"/>
        </w:trPr>
        <w:tc>
          <w:tcPr>
            <w:tcW w:w="2700" w:type="dxa"/>
            <w:vAlign w:val="bottom"/>
            <w:shd w:val="clear" w:color="auto" w:fill="CCECFF"/>
          </w:tcPr>
          <w:p>
            <w:pPr>
              <w:ind w:left="100"/>
              <w:spacing w:after="0" w:line="136" w:lineRule="exact"/>
              <w:rPr>
                <w:sz w:val="20"/>
                <w:szCs w:val="20"/>
                <w:color w:val="auto"/>
              </w:rPr>
            </w:pPr>
            <w:r>
              <w:rPr>
                <w:rFonts w:ascii="Times New Roman" w:cs="Times New Roman" w:eastAsia="Times New Roman" w:hAnsi="Times New Roman"/>
                <w:sz w:val="13"/>
                <w:szCs w:val="13"/>
                <w:color w:val="auto"/>
              </w:rPr>
              <w:t>Karpus Management, Inc. (5)</w:t>
            </w:r>
          </w:p>
        </w:tc>
        <w:tc>
          <w:tcPr>
            <w:tcW w:w="1240" w:type="dxa"/>
            <w:vAlign w:val="bottom"/>
            <w:shd w:val="clear" w:color="auto" w:fill="CCECFF"/>
          </w:tcPr>
          <w:p>
            <w:pPr>
              <w:jc w:val="center"/>
              <w:ind w:left="93"/>
              <w:spacing w:after="0" w:line="136" w:lineRule="exact"/>
              <w:rPr>
                <w:sz w:val="20"/>
                <w:szCs w:val="20"/>
                <w:color w:val="auto"/>
              </w:rPr>
            </w:pPr>
            <w:r>
              <w:rPr>
                <w:rFonts w:ascii="Times New Roman" w:cs="Times New Roman" w:eastAsia="Times New Roman" w:hAnsi="Times New Roman"/>
                <w:sz w:val="13"/>
                <w:szCs w:val="13"/>
                <w:color w:val="auto"/>
              </w:rPr>
              <w:t>0</w:t>
            </w:r>
          </w:p>
        </w:tc>
        <w:tc>
          <w:tcPr>
            <w:tcW w:w="1140" w:type="dxa"/>
            <w:vAlign w:val="bottom"/>
            <w:shd w:val="clear" w:color="auto" w:fill="CCECFF"/>
          </w:tcPr>
          <w:p>
            <w:pPr>
              <w:jc w:val="center"/>
              <w:spacing w:after="0" w:line="136" w:lineRule="exact"/>
              <w:rPr>
                <w:sz w:val="20"/>
                <w:szCs w:val="20"/>
                <w:color w:val="auto"/>
              </w:rPr>
            </w:pPr>
            <w:r>
              <w:rPr>
                <w:rFonts w:ascii="Times New Roman" w:cs="Times New Roman" w:eastAsia="Times New Roman" w:hAnsi="Times New Roman"/>
                <w:sz w:val="13"/>
                <w:szCs w:val="13"/>
                <w:color w:val="auto"/>
              </w:rPr>
              <w:t>N/A</w:t>
            </w:r>
          </w:p>
        </w:tc>
        <w:tc>
          <w:tcPr>
            <w:tcW w:w="1440" w:type="dxa"/>
            <w:vAlign w:val="bottom"/>
            <w:shd w:val="clear" w:color="auto" w:fill="CCECFF"/>
          </w:tcPr>
          <w:p>
            <w:pPr>
              <w:jc w:val="center"/>
              <w:spacing w:after="0" w:line="136" w:lineRule="exact"/>
              <w:rPr>
                <w:sz w:val="20"/>
                <w:szCs w:val="20"/>
                <w:color w:val="auto"/>
              </w:rPr>
            </w:pPr>
            <w:r>
              <w:rPr>
                <w:rFonts w:ascii="Times New Roman" w:cs="Times New Roman" w:eastAsia="Times New Roman" w:hAnsi="Times New Roman"/>
                <w:sz w:val="13"/>
                <w:szCs w:val="13"/>
                <w:color w:val="auto"/>
                <w:w w:val="98"/>
              </w:rPr>
              <w:t>N/A</w:t>
            </w:r>
          </w:p>
        </w:tc>
        <w:tc>
          <w:tcPr>
            <w:tcW w:w="1140" w:type="dxa"/>
            <w:vAlign w:val="bottom"/>
            <w:shd w:val="clear" w:color="auto" w:fill="CCECFF"/>
          </w:tcPr>
          <w:p>
            <w:pPr>
              <w:jc w:val="center"/>
              <w:spacing w:after="0" w:line="136" w:lineRule="exact"/>
              <w:rPr>
                <w:sz w:val="20"/>
                <w:szCs w:val="20"/>
                <w:color w:val="auto"/>
              </w:rPr>
            </w:pPr>
            <w:r>
              <w:rPr>
                <w:rFonts w:ascii="Times New Roman" w:cs="Times New Roman" w:eastAsia="Times New Roman" w:hAnsi="Times New Roman"/>
                <w:sz w:val="13"/>
                <w:szCs w:val="13"/>
                <w:color w:val="auto"/>
              </w:rPr>
              <w:t>727,225</w:t>
            </w:r>
          </w:p>
        </w:tc>
        <w:tc>
          <w:tcPr>
            <w:tcW w:w="1120" w:type="dxa"/>
            <w:vAlign w:val="bottom"/>
            <w:shd w:val="clear" w:color="auto" w:fill="CCECFF"/>
          </w:tcPr>
          <w:p>
            <w:pPr>
              <w:jc w:val="center"/>
              <w:spacing w:after="0" w:line="136" w:lineRule="exact"/>
              <w:rPr>
                <w:sz w:val="20"/>
                <w:szCs w:val="20"/>
                <w:color w:val="auto"/>
              </w:rPr>
            </w:pPr>
            <w:r>
              <w:rPr>
                <w:rFonts w:ascii="Times New Roman" w:cs="Times New Roman" w:eastAsia="Times New Roman" w:hAnsi="Times New Roman"/>
                <w:sz w:val="13"/>
                <w:szCs w:val="13"/>
                <w:color w:val="auto"/>
              </w:rPr>
              <w:t>20.22%</w:t>
            </w:r>
          </w:p>
        </w:tc>
        <w:tc>
          <w:tcPr>
            <w:tcW w:w="1120" w:type="dxa"/>
            <w:vAlign w:val="bottom"/>
            <w:shd w:val="clear" w:color="auto" w:fill="CCECFF"/>
          </w:tcPr>
          <w:p>
            <w:pPr>
              <w:jc w:val="center"/>
              <w:spacing w:after="0" w:line="136" w:lineRule="exact"/>
              <w:rPr>
                <w:sz w:val="20"/>
                <w:szCs w:val="20"/>
                <w:color w:val="auto"/>
              </w:rPr>
            </w:pPr>
            <w:r>
              <w:rPr>
                <w:rFonts w:ascii="Times New Roman" w:cs="Times New Roman" w:eastAsia="Times New Roman" w:hAnsi="Times New Roman"/>
                <w:sz w:val="13"/>
                <w:szCs w:val="13"/>
                <w:color w:val="auto"/>
              </w:rPr>
              <w:t>N/A</w:t>
            </w:r>
          </w:p>
        </w:tc>
        <w:tc>
          <w:tcPr>
            <w:tcW w:w="1340" w:type="dxa"/>
            <w:vAlign w:val="bottom"/>
            <w:shd w:val="clear" w:color="auto" w:fill="CCECFF"/>
          </w:tcPr>
          <w:p>
            <w:pPr>
              <w:jc w:val="center"/>
              <w:spacing w:after="0" w:line="136" w:lineRule="exact"/>
              <w:rPr>
                <w:sz w:val="20"/>
                <w:szCs w:val="20"/>
                <w:color w:val="auto"/>
              </w:rPr>
            </w:pPr>
            <w:r>
              <w:rPr>
                <w:rFonts w:ascii="Times New Roman" w:cs="Times New Roman" w:eastAsia="Times New Roman" w:hAnsi="Times New Roman"/>
                <w:sz w:val="13"/>
                <w:szCs w:val="13"/>
                <w:color w:val="auto"/>
                <w:w w:val="98"/>
              </w:rPr>
              <w:t>N/A</w:t>
            </w:r>
          </w:p>
        </w:tc>
      </w:tr>
      <w:tr>
        <w:trPr>
          <w:trHeight w:val="149"/>
        </w:trPr>
        <w:tc>
          <w:tcPr>
            <w:tcW w:w="27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183 Sully’s Trail</w:t>
            </w:r>
          </w:p>
        </w:tc>
        <w:tc>
          <w:tcPr>
            <w:tcW w:w="124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144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1340" w:type="dxa"/>
            <w:vAlign w:val="bottom"/>
            <w:shd w:val="clear" w:color="auto" w:fill="CCECFF"/>
          </w:tcPr>
          <w:p>
            <w:pPr>
              <w:spacing w:after="0"/>
              <w:rPr>
                <w:sz w:val="12"/>
                <w:szCs w:val="12"/>
                <w:color w:val="auto"/>
              </w:rPr>
            </w:pPr>
          </w:p>
        </w:tc>
      </w:tr>
      <w:tr>
        <w:trPr>
          <w:trHeight w:val="161"/>
        </w:trPr>
        <w:tc>
          <w:tcPr>
            <w:tcW w:w="27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Pittsford, NY 14534</w:t>
            </w:r>
          </w:p>
        </w:tc>
        <w:tc>
          <w:tcPr>
            <w:tcW w:w="124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144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1120" w:type="dxa"/>
            <w:vAlign w:val="bottom"/>
            <w:shd w:val="clear" w:color="auto" w:fill="CCECFF"/>
          </w:tcPr>
          <w:p>
            <w:pPr>
              <w:spacing w:after="0"/>
              <w:rPr>
                <w:sz w:val="14"/>
                <w:szCs w:val="14"/>
                <w:color w:val="auto"/>
              </w:rPr>
            </w:pPr>
          </w:p>
        </w:tc>
        <w:tc>
          <w:tcPr>
            <w:tcW w:w="1120" w:type="dxa"/>
            <w:vAlign w:val="bottom"/>
            <w:shd w:val="clear" w:color="auto" w:fill="CCECFF"/>
          </w:tcPr>
          <w:p>
            <w:pPr>
              <w:spacing w:after="0"/>
              <w:rPr>
                <w:sz w:val="14"/>
                <w:szCs w:val="14"/>
                <w:color w:val="auto"/>
              </w:rPr>
            </w:pPr>
          </w:p>
        </w:tc>
        <w:tc>
          <w:tcPr>
            <w:tcW w:w="1340" w:type="dxa"/>
            <w:vAlign w:val="bottom"/>
            <w:shd w:val="clear" w:color="auto" w:fill="CCECFF"/>
          </w:tcPr>
          <w:p>
            <w:pPr>
              <w:spacing w:after="0"/>
              <w:rPr>
                <w:sz w:val="14"/>
                <w:szCs w:val="14"/>
                <w:color w:val="auto"/>
              </w:rPr>
            </w:pPr>
          </w:p>
        </w:tc>
      </w:tr>
      <w:tr>
        <w:trPr>
          <w:trHeight w:val="136"/>
        </w:trPr>
        <w:tc>
          <w:tcPr>
            <w:tcW w:w="270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Eagle Point Credit Management LLC (6)</w:t>
            </w:r>
          </w:p>
        </w:tc>
        <w:tc>
          <w:tcPr>
            <w:tcW w:w="1240" w:type="dxa"/>
            <w:vAlign w:val="bottom"/>
          </w:tcPr>
          <w:p>
            <w:pPr>
              <w:jc w:val="center"/>
              <w:ind w:left="93"/>
              <w:spacing w:after="0" w:line="136" w:lineRule="exact"/>
              <w:rPr>
                <w:sz w:val="20"/>
                <w:szCs w:val="20"/>
                <w:color w:val="auto"/>
              </w:rPr>
            </w:pPr>
            <w:r>
              <w:rPr>
                <w:rFonts w:ascii="Times New Roman" w:cs="Times New Roman" w:eastAsia="Times New Roman" w:hAnsi="Times New Roman"/>
                <w:sz w:val="13"/>
                <w:szCs w:val="13"/>
                <w:color w:val="auto"/>
              </w:rPr>
              <w:t>0</w:t>
            </w:r>
          </w:p>
        </w:tc>
        <w:tc>
          <w:tcPr>
            <w:tcW w:w="11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N/A</w:t>
            </w:r>
          </w:p>
        </w:tc>
        <w:tc>
          <w:tcPr>
            <w:tcW w:w="1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w w:val="98"/>
              </w:rPr>
              <w:t>N/A</w:t>
            </w:r>
          </w:p>
        </w:tc>
        <w:tc>
          <w:tcPr>
            <w:tcW w:w="11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218,735</w:t>
            </w: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6.08%</w:t>
            </w:r>
          </w:p>
        </w:tc>
        <w:tc>
          <w:tcPr>
            <w:tcW w:w="11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N/A</w:t>
            </w:r>
          </w:p>
        </w:tc>
        <w:tc>
          <w:tcPr>
            <w:tcW w:w="13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w w:val="98"/>
              </w:rPr>
              <w:t>N/A</w:t>
            </w:r>
          </w:p>
        </w:tc>
      </w:tr>
      <w:tr>
        <w:trPr>
          <w:trHeight w:val="148"/>
        </w:trPr>
        <w:tc>
          <w:tcPr>
            <w:tcW w:w="2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600 Steamboat Road</w:t>
            </w: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8"/>
        </w:trPr>
        <w:tc>
          <w:tcPr>
            <w:tcW w:w="2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Suite 202</w:t>
            </w: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61"/>
        </w:trPr>
        <w:tc>
          <w:tcPr>
            <w:tcW w:w="2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Greenwich, CT 06830</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57"/>
        </w:trPr>
        <w:tc>
          <w:tcPr>
            <w:tcW w:w="27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b w:val="1"/>
                <w:bCs w:val="1"/>
                <w:i w:val="1"/>
                <w:iCs w:val="1"/>
                <w:color w:val="auto"/>
              </w:rPr>
              <w:t>Independent Directors:</w:t>
            </w:r>
          </w:p>
        </w:tc>
        <w:tc>
          <w:tcPr>
            <w:tcW w:w="1240" w:type="dxa"/>
            <w:vAlign w:val="bottom"/>
            <w:shd w:val="clear" w:color="auto" w:fill="CCECFF"/>
          </w:tcPr>
          <w:p>
            <w:pPr>
              <w:spacing w:after="0"/>
              <w:rPr>
                <w:sz w:val="22"/>
                <w:szCs w:val="22"/>
                <w:color w:val="auto"/>
              </w:rPr>
            </w:pPr>
          </w:p>
        </w:tc>
        <w:tc>
          <w:tcPr>
            <w:tcW w:w="1140" w:type="dxa"/>
            <w:vAlign w:val="bottom"/>
            <w:shd w:val="clear" w:color="auto" w:fill="CCECFF"/>
          </w:tcPr>
          <w:p>
            <w:pPr>
              <w:spacing w:after="0"/>
              <w:rPr>
                <w:sz w:val="22"/>
                <w:szCs w:val="22"/>
                <w:color w:val="auto"/>
              </w:rPr>
            </w:pPr>
          </w:p>
        </w:tc>
        <w:tc>
          <w:tcPr>
            <w:tcW w:w="1440" w:type="dxa"/>
            <w:vAlign w:val="bottom"/>
            <w:shd w:val="clear" w:color="auto" w:fill="CCECFF"/>
          </w:tcPr>
          <w:p>
            <w:pPr>
              <w:spacing w:after="0"/>
              <w:rPr>
                <w:sz w:val="22"/>
                <w:szCs w:val="22"/>
                <w:color w:val="auto"/>
              </w:rPr>
            </w:pPr>
          </w:p>
        </w:tc>
        <w:tc>
          <w:tcPr>
            <w:tcW w:w="1140" w:type="dxa"/>
            <w:vAlign w:val="bottom"/>
            <w:shd w:val="clear" w:color="auto" w:fill="CCECFF"/>
          </w:tcPr>
          <w:p>
            <w:pPr>
              <w:spacing w:after="0"/>
              <w:rPr>
                <w:sz w:val="22"/>
                <w:szCs w:val="22"/>
                <w:color w:val="auto"/>
              </w:rPr>
            </w:pPr>
          </w:p>
        </w:tc>
        <w:tc>
          <w:tcPr>
            <w:tcW w:w="1120" w:type="dxa"/>
            <w:vAlign w:val="bottom"/>
            <w:shd w:val="clear" w:color="auto" w:fill="CCECFF"/>
          </w:tcPr>
          <w:p>
            <w:pPr>
              <w:spacing w:after="0"/>
              <w:rPr>
                <w:sz w:val="22"/>
                <w:szCs w:val="22"/>
                <w:color w:val="auto"/>
              </w:rPr>
            </w:pPr>
          </w:p>
        </w:tc>
        <w:tc>
          <w:tcPr>
            <w:tcW w:w="1120" w:type="dxa"/>
            <w:vAlign w:val="bottom"/>
            <w:shd w:val="clear" w:color="auto" w:fill="CCECFF"/>
          </w:tcPr>
          <w:p>
            <w:pPr>
              <w:spacing w:after="0"/>
              <w:rPr>
                <w:sz w:val="22"/>
                <w:szCs w:val="22"/>
                <w:color w:val="auto"/>
              </w:rPr>
            </w:pPr>
          </w:p>
        </w:tc>
        <w:tc>
          <w:tcPr>
            <w:tcW w:w="1340" w:type="dxa"/>
            <w:vAlign w:val="bottom"/>
            <w:shd w:val="clear" w:color="auto" w:fill="CCECFF"/>
          </w:tcPr>
          <w:p>
            <w:pPr>
              <w:spacing w:after="0"/>
              <w:rPr>
                <w:sz w:val="22"/>
                <w:szCs w:val="22"/>
                <w:color w:val="auto"/>
              </w:rPr>
            </w:pPr>
          </w:p>
        </w:tc>
      </w:tr>
      <w:tr>
        <w:trPr>
          <w:trHeight w:val="148"/>
        </w:trPr>
        <w:tc>
          <w:tcPr>
            <w:tcW w:w="2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Kathleen M. Griggs</w:t>
            </w:r>
          </w:p>
        </w:tc>
        <w:tc>
          <w:tcPr>
            <w:tcW w:w="1240" w:type="dxa"/>
            <w:vAlign w:val="bottom"/>
          </w:tcPr>
          <w:p>
            <w:pPr>
              <w:jc w:val="center"/>
              <w:ind w:left="73"/>
              <w:spacing w:after="0"/>
              <w:rPr>
                <w:sz w:val="20"/>
                <w:szCs w:val="20"/>
                <w:color w:val="auto"/>
              </w:rPr>
            </w:pPr>
            <w:r>
              <w:rPr>
                <w:rFonts w:ascii="Times New Roman" w:cs="Times New Roman" w:eastAsia="Times New Roman" w:hAnsi="Times New Roman"/>
                <w:sz w:val="13"/>
                <w:szCs w:val="13"/>
                <w:color w:val="auto"/>
              </w:rPr>
              <w:t>3,772</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$1-$10,000</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None</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$1-$10,000</w:t>
            </w:r>
          </w:p>
        </w:tc>
      </w:tr>
      <w:tr>
        <w:trPr>
          <w:trHeight w:val="148"/>
        </w:trPr>
        <w:tc>
          <w:tcPr>
            <w:tcW w:w="27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Kate M. Fitta</w:t>
            </w:r>
          </w:p>
        </w:tc>
        <w:tc>
          <w:tcPr>
            <w:tcW w:w="1240" w:type="dxa"/>
            <w:vAlign w:val="bottom"/>
            <w:shd w:val="clear" w:color="auto" w:fill="CCECFF"/>
          </w:tcPr>
          <w:p>
            <w:pPr>
              <w:jc w:val="center"/>
              <w:ind w:left="73"/>
              <w:spacing w:after="0"/>
              <w:rPr>
                <w:sz w:val="20"/>
                <w:szCs w:val="20"/>
                <w:color w:val="auto"/>
              </w:rPr>
            </w:pPr>
            <w:r>
              <w:rPr>
                <w:rFonts w:ascii="Times New Roman" w:cs="Times New Roman" w:eastAsia="Times New Roman" w:hAnsi="Times New Roman"/>
                <w:sz w:val="13"/>
                <w:szCs w:val="13"/>
                <w:color w:val="auto"/>
              </w:rPr>
              <w:t>2,200</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$1-$10,000</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0</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9"/>
              </w:rPr>
              <w:t>None</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$1-$10,000</w:t>
            </w:r>
          </w:p>
        </w:tc>
      </w:tr>
      <w:tr>
        <w:trPr>
          <w:trHeight w:val="149"/>
        </w:trPr>
        <w:tc>
          <w:tcPr>
            <w:tcW w:w="2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Romita Shetty</w:t>
            </w:r>
          </w:p>
        </w:tc>
        <w:tc>
          <w:tcPr>
            <w:tcW w:w="124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None</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None</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None</w:t>
            </w:r>
          </w:p>
        </w:tc>
      </w:tr>
      <w:tr>
        <w:trPr>
          <w:trHeight w:val="256"/>
        </w:trPr>
        <w:tc>
          <w:tcPr>
            <w:tcW w:w="27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b w:val="1"/>
                <w:bCs w:val="1"/>
                <w:i w:val="1"/>
                <w:iCs w:val="1"/>
                <w:color w:val="auto"/>
              </w:rPr>
              <w:t>Interested Directors:</w:t>
            </w:r>
          </w:p>
        </w:tc>
        <w:tc>
          <w:tcPr>
            <w:tcW w:w="1240" w:type="dxa"/>
            <w:vAlign w:val="bottom"/>
            <w:shd w:val="clear" w:color="auto" w:fill="CCECFF"/>
          </w:tcPr>
          <w:p>
            <w:pPr>
              <w:spacing w:after="0"/>
              <w:rPr>
                <w:sz w:val="22"/>
                <w:szCs w:val="22"/>
                <w:color w:val="auto"/>
              </w:rPr>
            </w:pPr>
          </w:p>
        </w:tc>
        <w:tc>
          <w:tcPr>
            <w:tcW w:w="1140" w:type="dxa"/>
            <w:vAlign w:val="bottom"/>
            <w:shd w:val="clear" w:color="auto" w:fill="CCECFF"/>
          </w:tcPr>
          <w:p>
            <w:pPr>
              <w:spacing w:after="0"/>
              <w:rPr>
                <w:sz w:val="22"/>
                <w:szCs w:val="22"/>
                <w:color w:val="auto"/>
              </w:rPr>
            </w:pPr>
          </w:p>
        </w:tc>
        <w:tc>
          <w:tcPr>
            <w:tcW w:w="1440" w:type="dxa"/>
            <w:vAlign w:val="bottom"/>
            <w:shd w:val="clear" w:color="auto" w:fill="CCECFF"/>
          </w:tcPr>
          <w:p>
            <w:pPr>
              <w:spacing w:after="0"/>
              <w:rPr>
                <w:sz w:val="22"/>
                <w:szCs w:val="22"/>
                <w:color w:val="auto"/>
              </w:rPr>
            </w:pPr>
          </w:p>
        </w:tc>
        <w:tc>
          <w:tcPr>
            <w:tcW w:w="1140" w:type="dxa"/>
            <w:vAlign w:val="bottom"/>
            <w:shd w:val="clear" w:color="auto" w:fill="CCECFF"/>
          </w:tcPr>
          <w:p>
            <w:pPr>
              <w:spacing w:after="0"/>
              <w:rPr>
                <w:sz w:val="22"/>
                <w:szCs w:val="22"/>
                <w:color w:val="auto"/>
              </w:rPr>
            </w:pPr>
          </w:p>
        </w:tc>
        <w:tc>
          <w:tcPr>
            <w:tcW w:w="1120" w:type="dxa"/>
            <w:vAlign w:val="bottom"/>
            <w:shd w:val="clear" w:color="auto" w:fill="CCECFF"/>
          </w:tcPr>
          <w:p>
            <w:pPr>
              <w:spacing w:after="0"/>
              <w:rPr>
                <w:sz w:val="22"/>
                <w:szCs w:val="22"/>
                <w:color w:val="auto"/>
              </w:rPr>
            </w:pPr>
          </w:p>
        </w:tc>
        <w:tc>
          <w:tcPr>
            <w:tcW w:w="1120" w:type="dxa"/>
            <w:vAlign w:val="bottom"/>
            <w:shd w:val="clear" w:color="auto" w:fill="CCECFF"/>
          </w:tcPr>
          <w:p>
            <w:pPr>
              <w:spacing w:after="0"/>
              <w:rPr>
                <w:sz w:val="22"/>
                <w:szCs w:val="22"/>
                <w:color w:val="auto"/>
              </w:rPr>
            </w:pPr>
          </w:p>
        </w:tc>
        <w:tc>
          <w:tcPr>
            <w:tcW w:w="1340" w:type="dxa"/>
            <w:vAlign w:val="bottom"/>
            <w:shd w:val="clear" w:color="auto" w:fill="CCECFF"/>
          </w:tcPr>
          <w:p>
            <w:pPr>
              <w:spacing w:after="0"/>
              <w:rPr>
                <w:sz w:val="22"/>
                <w:szCs w:val="22"/>
                <w:color w:val="auto"/>
              </w:rPr>
            </w:pPr>
          </w:p>
        </w:tc>
      </w:tr>
      <w:tr>
        <w:trPr>
          <w:trHeight w:val="149"/>
        </w:trPr>
        <w:tc>
          <w:tcPr>
            <w:tcW w:w="2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Jeffrey A. Cerny (7)</w:t>
            </w:r>
          </w:p>
        </w:tc>
        <w:tc>
          <w:tcPr>
            <w:tcW w:w="124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38,206</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$50,001-$100,000</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None</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over $100,000</w:t>
            </w:r>
          </w:p>
        </w:tc>
      </w:tr>
      <w:tr>
        <w:trPr>
          <w:trHeight w:val="174"/>
        </w:trPr>
        <w:tc>
          <w:tcPr>
            <w:tcW w:w="27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Bilal Rashid (8)</w:t>
            </w:r>
          </w:p>
        </w:tc>
        <w:tc>
          <w:tcPr>
            <w:tcW w:w="1240" w:type="dxa"/>
            <w:vAlign w:val="bottom"/>
            <w:shd w:val="clear" w:color="auto" w:fill="CCECFF"/>
          </w:tcPr>
          <w:p>
            <w:pPr>
              <w:jc w:val="center"/>
              <w:ind w:left="93"/>
              <w:spacing w:after="0"/>
              <w:rPr>
                <w:sz w:val="20"/>
                <w:szCs w:val="20"/>
                <w:color w:val="auto"/>
              </w:rPr>
            </w:pPr>
            <w:r>
              <w:rPr>
                <w:rFonts w:ascii="Times New Roman" w:cs="Times New Roman" w:eastAsia="Times New Roman" w:hAnsi="Times New Roman"/>
                <w:sz w:val="13"/>
                <w:szCs w:val="13"/>
                <w:color w:val="auto"/>
              </w:rPr>
              <w:t>227,437</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over $100,000</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0</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9"/>
              </w:rPr>
              <w:t>None</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over $100,000</w:t>
            </w:r>
          </w:p>
        </w:tc>
      </w:tr>
      <w:tr>
        <w:trPr>
          <w:trHeight w:val="82"/>
        </w:trPr>
        <w:tc>
          <w:tcPr>
            <w:tcW w:w="2700" w:type="dxa"/>
            <w:vAlign w:val="bottom"/>
            <w:shd w:val="clear" w:color="auto" w:fill="CCECFF"/>
          </w:tcPr>
          <w:p>
            <w:pPr>
              <w:spacing w:after="0"/>
              <w:rPr>
                <w:sz w:val="7"/>
                <w:szCs w:val="7"/>
                <w:color w:val="auto"/>
              </w:rPr>
            </w:pPr>
          </w:p>
        </w:tc>
        <w:tc>
          <w:tcPr>
            <w:tcW w:w="1240" w:type="dxa"/>
            <w:vAlign w:val="bottom"/>
            <w:shd w:val="clear" w:color="auto" w:fill="CCECFF"/>
          </w:tcPr>
          <w:p>
            <w:pPr>
              <w:spacing w:after="0"/>
              <w:rPr>
                <w:sz w:val="7"/>
                <w:szCs w:val="7"/>
                <w:color w:val="auto"/>
              </w:rPr>
            </w:pPr>
          </w:p>
        </w:tc>
        <w:tc>
          <w:tcPr>
            <w:tcW w:w="1140" w:type="dxa"/>
            <w:vAlign w:val="bottom"/>
            <w:shd w:val="clear" w:color="auto" w:fill="CCECFF"/>
          </w:tcPr>
          <w:p>
            <w:pPr>
              <w:spacing w:after="0"/>
              <w:rPr>
                <w:sz w:val="7"/>
                <w:szCs w:val="7"/>
                <w:color w:val="auto"/>
              </w:rPr>
            </w:pPr>
          </w:p>
        </w:tc>
        <w:tc>
          <w:tcPr>
            <w:tcW w:w="1440" w:type="dxa"/>
            <w:vAlign w:val="bottom"/>
            <w:shd w:val="clear" w:color="auto" w:fill="CCECFF"/>
          </w:tcPr>
          <w:p>
            <w:pPr>
              <w:spacing w:after="0"/>
              <w:rPr>
                <w:sz w:val="7"/>
                <w:szCs w:val="7"/>
                <w:color w:val="auto"/>
              </w:rPr>
            </w:pPr>
          </w:p>
        </w:tc>
        <w:tc>
          <w:tcPr>
            <w:tcW w:w="1140" w:type="dxa"/>
            <w:vAlign w:val="bottom"/>
            <w:shd w:val="clear" w:color="auto" w:fill="CCECFF"/>
          </w:tcPr>
          <w:p>
            <w:pPr>
              <w:spacing w:after="0"/>
              <w:rPr>
                <w:sz w:val="7"/>
                <w:szCs w:val="7"/>
                <w:color w:val="auto"/>
              </w:rPr>
            </w:pPr>
          </w:p>
        </w:tc>
        <w:tc>
          <w:tcPr>
            <w:tcW w:w="1120" w:type="dxa"/>
            <w:vAlign w:val="bottom"/>
            <w:shd w:val="clear" w:color="auto" w:fill="CCECFF"/>
          </w:tcPr>
          <w:p>
            <w:pPr>
              <w:spacing w:after="0"/>
              <w:rPr>
                <w:sz w:val="7"/>
                <w:szCs w:val="7"/>
                <w:color w:val="auto"/>
              </w:rPr>
            </w:pPr>
          </w:p>
        </w:tc>
        <w:tc>
          <w:tcPr>
            <w:tcW w:w="1120" w:type="dxa"/>
            <w:vAlign w:val="bottom"/>
            <w:shd w:val="clear" w:color="auto" w:fill="CCECFF"/>
          </w:tcPr>
          <w:p>
            <w:pPr>
              <w:spacing w:after="0"/>
              <w:rPr>
                <w:sz w:val="7"/>
                <w:szCs w:val="7"/>
                <w:color w:val="auto"/>
              </w:rPr>
            </w:pPr>
          </w:p>
        </w:tc>
        <w:tc>
          <w:tcPr>
            <w:tcW w:w="1340" w:type="dxa"/>
            <w:vAlign w:val="bottom"/>
            <w:shd w:val="clear" w:color="auto" w:fill="CCECFF"/>
          </w:tcPr>
          <w:p>
            <w:pPr>
              <w:spacing w:after="0"/>
              <w:rPr>
                <w:sz w:val="7"/>
                <w:szCs w:val="7"/>
                <w:color w:val="auto"/>
              </w:rPr>
            </w:pPr>
          </w:p>
        </w:tc>
      </w:tr>
      <w:tr>
        <w:trPr>
          <w:trHeight w:val="149"/>
        </w:trPr>
        <w:tc>
          <w:tcPr>
            <w:tcW w:w="27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i w:val="1"/>
                <w:iCs w:val="1"/>
                <w:color w:val="auto"/>
              </w:rPr>
              <w:t>Officers who are not Directors:</w:t>
            </w: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8"/>
        </w:trPr>
        <w:tc>
          <w:tcPr>
            <w:tcW w:w="27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Kyle Spina</w:t>
            </w:r>
          </w:p>
        </w:tc>
        <w:tc>
          <w:tcPr>
            <w:tcW w:w="1240" w:type="dxa"/>
            <w:vAlign w:val="bottom"/>
            <w:shd w:val="clear" w:color="auto" w:fill="CCECFF"/>
          </w:tcPr>
          <w:p>
            <w:pPr>
              <w:jc w:val="center"/>
              <w:ind w:left="93"/>
              <w:spacing w:after="0"/>
              <w:rPr>
                <w:sz w:val="20"/>
                <w:szCs w:val="20"/>
                <w:color w:val="auto"/>
              </w:rPr>
            </w:pPr>
            <w:r>
              <w:rPr>
                <w:rFonts w:ascii="Times New Roman" w:cs="Times New Roman" w:eastAsia="Times New Roman" w:hAnsi="Times New Roman"/>
                <w:sz w:val="13"/>
                <w:szCs w:val="13"/>
                <w:color w:val="auto"/>
              </w:rPr>
              <w:t>0</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0</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r>
      <w:tr>
        <w:trPr>
          <w:trHeight w:val="148"/>
        </w:trPr>
        <w:tc>
          <w:tcPr>
            <w:tcW w:w="2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Tod K. Reichert</w:t>
            </w:r>
          </w:p>
        </w:tc>
        <w:tc>
          <w:tcPr>
            <w:tcW w:w="124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25,371</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r>
      <w:tr>
        <w:trPr>
          <w:trHeight w:val="174"/>
        </w:trPr>
        <w:tc>
          <w:tcPr>
            <w:tcW w:w="27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Mukya S. Porter</w:t>
            </w:r>
          </w:p>
        </w:tc>
        <w:tc>
          <w:tcPr>
            <w:tcW w:w="1240" w:type="dxa"/>
            <w:vAlign w:val="bottom"/>
            <w:shd w:val="clear" w:color="auto" w:fill="CCECFF"/>
          </w:tcPr>
          <w:p>
            <w:pPr>
              <w:jc w:val="center"/>
              <w:ind w:left="93"/>
              <w:spacing w:after="0"/>
              <w:rPr>
                <w:sz w:val="20"/>
                <w:szCs w:val="20"/>
                <w:color w:val="auto"/>
              </w:rPr>
            </w:pPr>
            <w:r>
              <w:rPr>
                <w:rFonts w:ascii="Times New Roman" w:cs="Times New Roman" w:eastAsia="Times New Roman" w:hAnsi="Times New Roman"/>
                <w:sz w:val="13"/>
                <w:szCs w:val="13"/>
                <w:color w:val="auto"/>
              </w:rPr>
              <w:t>0</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0</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r>
      <w:tr>
        <w:trPr>
          <w:trHeight w:val="82"/>
        </w:trPr>
        <w:tc>
          <w:tcPr>
            <w:tcW w:w="2700" w:type="dxa"/>
            <w:vAlign w:val="bottom"/>
            <w:shd w:val="clear" w:color="auto" w:fill="CCECFF"/>
          </w:tcPr>
          <w:p>
            <w:pPr>
              <w:spacing w:after="0"/>
              <w:rPr>
                <w:sz w:val="7"/>
                <w:szCs w:val="7"/>
                <w:color w:val="auto"/>
              </w:rPr>
            </w:pPr>
          </w:p>
        </w:tc>
        <w:tc>
          <w:tcPr>
            <w:tcW w:w="1240" w:type="dxa"/>
            <w:vAlign w:val="bottom"/>
            <w:shd w:val="clear" w:color="auto" w:fill="CCECFF"/>
          </w:tcPr>
          <w:p>
            <w:pPr>
              <w:spacing w:after="0"/>
              <w:rPr>
                <w:sz w:val="7"/>
                <w:szCs w:val="7"/>
                <w:color w:val="auto"/>
              </w:rPr>
            </w:pPr>
          </w:p>
        </w:tc>
        <w:tc>
          <w:tcPr>
            <w:tcW w:w="1140" w:type="dxa"/>
            <w:vAlign w:val="bottom"/>
            <w:shd w:val="clear" w:color="auto" w:fill="CCECFF"/>
          </w:tcPr>
          <w:p>
            <w:pPr>
              <w:spacing w:after="0"/>
              <w:rPr>
                <w:sz w:val="7"/>
                <w:szCs w:val="7"/>
                <w:color w:val="auto"/>
              </w:rPr>
            </w:pPr>
          </w:p>
        </w:tc>
        <w:tc>
          <w:tcPr>
            <w:tcW w:w="1440" w:type="dxa"/>
            <w:vAlign w:val="bottom"/>
            <w:shd w:val="clear" w:color="auto" w:fill="CCECFF"/>
          </w:tcPr>
          <w:p>
            <w:pPr>
              <w:spacing w:after="0"/>
              <w:rPr>
                <w:sz w:val="7"/>
                <w:szCs w:val="7"/>
                <w:color w:val="auto"/>
              </w:rPr>
            </w:pPr>
          </w:p>
        </w:tc>
        <w:tc>
          <w:tcPr>
            <w:tcW w:w="1140" w:type="dxa"/>
            <w:vAlign w:val="bottom"/>
            <w:shd w:val="clear" w:color="auto" w:fill="CCECFF"/>
          </w:tcPr>
          <w:p>
            <w:pPr>
              <w:spacing w:after="0"/>
              <w:rPr>
                <w:sz w:val="7"/>
                <w:szCs w:val="7"/>
                <w:color w:val="auto"/>
              </w:rPr>
            </w:pPr>
          </w:p>
        </w:tc>
        <w:tc>
          <w:tcPr>
            <w:tcW w:w="1120" w:type="dxa"/>
            <w:vAlign w:val="bottom"/>
            <w:shd w:val="clear" w:color="auto" w:fill="CCECFF"/>
          </w:tcPr>
          <w:p>
            <w:pPr>
              <w:spacing w:after="0"/>
              <w:rPr>
                <w:sz w:val="7"/>
                <w:szCs w:val="7"/>
                <w:color w:val="auto"/>
              </w:rPr>
            </w:pPr>
          </w:p>
        </w:tc>
        <w:tc>
          <w:tcPr>
            <w:tcW w:w="1120" w:type="dxa"/>
            <w:vAlign w:val="bottom"/>
            <w:shd w:val="clear" w:color="auto" w:fill="CCECFF"/>
          </w:tcPr>
          <w:p>
            <w:pPr>
              <w:spacing w:after="0"/>
              <w:rPr>
                <w:sz w:val="7"/>
                <w:szCs w:val="7"/>
                <w:color w:val="auto"/>
              </w:rPr>
            </w:pPr>
          </w:p>
        </w:tc>
        <w:tc>
          <w:tcPr>
            <w:tcW w:w="1340" w:type="dxa"/>
            <w:vAlign w:val="bottom"/>
            <w:shd w:val="clear" w:color="auto" w:fill="CCECFF"/>
          </w:tcPr>
          <w:p>
            <w:pPr>
              <w:spacing w:after="0"/>
              <w:rPr>
                <w:sz w:val="7"/>
                <w:szCs w:val="7"/>
                <w:color w:val="auto"/>
              </w:rPr>
            </w:pPr>
          </w:p>
        </w:tc>
      </w:tr>
      <w:tr>
        <w:trPr>
          <w:trHeight w:val="132"/>
        </w:trPr>
        <w:tc>
          <w:tcPr>
            <w:tcW w:w="2700" w:type="dxa"/>
            <w:vAlign w:val="bottom"/>
          </w:tcPr>
          <w:p>
            <w:pPr>
              <w:ind w:left="100"/>
              <w:spacing w:after="0" w:line="132" w:lineRule="exact"/>
              <w:rPr>
                <w:sz w:val="20"/>
                <w:szCs w:val="20"/>
                <w:color w:val="auto"/>
              </w:rPr>
            </w:pPr>
            <w:r>
              <w:rPr>
                <w:rFonts w:ascii="Times New Roman" w:cs="Times New Roman" w:eastAsia="Times New Roman" w:hAnsi="Times New Roman"/>
                <w:sz w:val="13"/>
                <w:szCs w:val="13"/>
                <w:b w:val="1"/>
                <w:bCs w:val="1"/>
                <w:i w:val="1"/>
                <w:iCs w:val="1"/>
                <w:color w:val="auto"/>
              </w:rPr>
              <w:t>All Directors and officers as a group</w:t>
            </w:r>
          </w:p>
        </w:tc>
        <w:tc>
          <w:tcPr>
            <w:tcW w:w="1240" w:type="dxa"/>
            <w:vAlign w:val="bottom"/>
          </w:tcPr>
          <w:p>
            <w:pPr>
              <w:jc w:val="center"/>
              <w:ind w:left="93"/>
              <w:spacing w:after="0" w:line="132" w:lineRule="exact"/>
              <w:rPr>
                <w:sz w:val="20"/>
                <w:szCs w:val="20"/>
                <w:color w:val="auto"/>
              </w:rPr>
            </w:pPr>
            <w:r>
              <w:rPr>
                <w:rFonts w:ascii="Times New Roman" w:cs="Times New Roman" w:eastAsia="Times New Roman" w:hAnsi="Times New Roman"/>
                <w:sz w:val="13"/>
                <w:szCs w:val="13"/>
                <w:color w:val="auto"/>
              </w:rPr>
              <w:t>296,986</w:t>
            </w:r>
          </w:p>
        </w:tc>
        <w:tc>
          <w:tcPr>
            <w:tcW w:w="114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8"/>
              </w:rPr>
              <w:t>N/A</w:t>
            </w:r>
          </w:p>
        </w:tc>
        <w:tc>
          <w:tcPr>
            <w:tcW w:w="114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rPr>
              <w:t>N/A</w:t>
            </w:r>
          </w:p>
        </w:tc>
        <w:tc>
          <w:tcPr>
            <w:tcW w:w="112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rPr>
              <w:t>N/A</w:t>
            </w:r>
          </w:p>
        </w:tc>
        <w:tc>
          <w:tcPr>
            <w:tcW w:w="134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8"/>
              </w:rPr>
              <w:t>N/A</w:t>
            </w:r>
          </w:p>
        </w:tc>
      </w:tr>
      <w:tr>
        <w:trPr>
          <w:trHeight w:val="178"/>
        </w:trPr>
        <w:tc>
          <w:tcPr>
            <w:tcW w:w="27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i w:val="1"/>
                <w:iCs w:val="1"/>
                <w:color w:val="auto"/>
              </w:rPr>
              <w:t>(8 persons)</w:t>
            </w: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spacing w:after="0"/>
              <w:rPr>
                <w:sz w:val="15"/>
                <w:szCs w:val="15"/>
                <w:color w:val="auto"/>
              </w:rPr>
            </w:pPr>
          </w:p>
        </w:tc>
      </w:tr>
    </w:tbl>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7"/>
          <w:szCs w:val="7"/>
          <w:color w:val="auto"/>
        </w:rPr>
        <w:t>________________________________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Represents less than one percent (1%) of our outstanding Common Stock.</w:t>
      </w:r>
    </w:p>
    <w:p>
      <w:pPr>
        <w:ind w:left="280" w:hanging="272"/>
        <w:spacing w:after="0"/>
        <w:tabs>
          <w:tab w:leader="none" w:pos="2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Applicable percentage of ownership for each holder is based on 29,372,401 shares of Common Stock outstanding and 3,596,000 shares of Preferred Stock outstanding on June 18, 2026.</w:t>
      </w:r>
    </w:p>
    <w:p>
      <w:pPr>
        <w:ind w:left="380" w:hanging="372"/>
        <w:spacing w:after="0" w:line="238" w:lineRule="auto"/>
        <w:tabs>
          <w:tab w:leader="none" w:pos="276"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Beneficial ownership has been determined in accordance with Rule 16a-1(a)(2) of the Securities Exchange Act of 1934, as amended (the “Exchange Act”). None of the reported shares held directly by Kathleen M. Griggs, Bilal Rashid and Tod K. Reichert are pledged as security.</w:t>
      </w:r>
    </w:p>
    <w:p>
      <w:pPr>
        <w:ind w:left="380" w:right="20" w:hanging="372"/>
        <w:spacing w:after="0" w:line="238" w:lineRule="auto"/>
        <w:tabs>
          <w:tab w:leader="none" w:pos="276"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dollar range of our equity securities beneficially owned is calculated by multiplying the closing price of our Common Stock as reported on The Nasdaq Capital Market on June 18, 2026, by the number of shares beneficially owned.</w:t>
      </w:r>
    </w:p>
    <w:p>
      <w:pPr>
        <w:ind w:left="380" w:hanging="372"/>
        <w:spacing w:after="0" w:line="238" w:lineRule="auto"/>
        <w:tabs>
          <w:tab w:leader="none" w:pos="276"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dollar range of equity securities that were beneficially owned by each director as of June 18, 2026 is stated as one of the following dollar ranges: None; $1-$10,000; $10,001-$50,000; $50,001-$100,000; or Over $100,000. “Fund Complex” includes: (i) the Company; (ii) Hancock Park Corporate Income, Inc. (“Hancock Park”) and OFS Capital Corporation (“OFS Capital”), each of which are business development companies (“BDCs”) advised by OFS Capital Management, LLC (“OFS Advisor”); and (iii) CIM Real Assets &amp; Credit Fund (“CIM RACR”), which is a registered investment company sub-advised by OFS Advisor.</w:t>
      </w:r>
    </w:p>
    <w:p>
      <w:pPr>
        <w:spacing w:after="0" w:line="1" w:lineRule="exact"/>
        <w:rPr>
          <w:rFonts w:ascii="Times New Roman" w:cs="Times New Roman" w:eastAsia="Times New Roman" w:hAnsi="Times New Roman"/>
          <w:sz w:val="13"/>
          <w:szCs w:val="13"/>
          <w:color w:val="auto"/>
        </w:rPr>
      </w:pPr>
    </w:p>
    <w:p>
      <w:pPr>
        <w:ind w:left="280" w:hanging="272"/>
        <w:spacing w:after="0"/>
        <w:tabs>
          <w:tab w:leader="none" w:pos="2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is based on Schedule 13G/A filings filed with the SEC on May 7, 2026 by Karpus Management, Inc. d/b/a Karpus Investment Management.</w:t>
      </w:r>
    </w:p>
    <w:p>
      <w:pPr>
        <w:ind w:left="280" w:hanging="272"/>
        <w:spacing w:after="0"/>
        <w:tabs>
          <w:tab w:leader="none" w:pos="2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is based on a Schedule 13G/A filed with the SEC on November 14, 2025 by Eagle Point Credit Management LLC.</w:t>
      </w:r>
    </w:p>
    <w:p>
      <w:pPr>
        <w:ind w:left="380" w:right="20" w:hanging="372"/>
        <w:spacing w:after="0" w:line="238" w:lineRule="auto"/>
        <w:tabs>
          <w:tab w:leader="none" w:pos="276"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reported shares of Common Stock beneficially owned by Jeffrey A. Cerny include securities that may be subject to offset under the terms of an undrawn line of credit with UBS Bank USA, a standard brokerage product. If such line of credit is drawn and not repaid in accordance with its terms, UBS Bank USA may offset against Mr. Cerny’s securities portfolio, which includes shares of the Company’s Common Stock. Mr. Cerny retains voting and investment power over these shares of Common Stock unless and until such an offset occurs.</w:t>
      </w:r>
    </w:p>
    <w:p>
      <w:pPr>
        <w:ind w:left="380" w:hanging="372"/>
        <w:spacing w:after="0" w:line="242" w:lineRule="auto"/>
        <w:tabs>
          <w:tab w:leader="none" w:pos="276"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188,601 shares owned by Orchard First Source Asset Management Holdings, LLC (“OFSAM Holdings”). OFSAM Holdings is owned directly or indirectly by Bilal Rashid and Orchard Investments, LLC (“OI”), indirectly owned by OI3, LLC (“OI3”), as an owner of OI, indirectly owned by the OI3 2019 Trust, as owner of OI3, and indirectly owned by Richard S. Ressler, as investment trustee of the OI3 2019 Trust established by Mr. Ressler for the benefit of his family members. Mr. Ressler disclaims beneficial ownership of the shares held by OFSAM Holdings and OI3 except to the extent of his pecuniary interest therein. Mr. Rashid is not a beneficial owner of the Company’s Common Stock held by OFSAM Holdings or OI3 for purposes of Section 13(d) of the Exchange Act. The shares held by OFSAM Holdings are pledged as security for a revolving credit facility.</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PROPOSAL ONE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 of directors recommends a vote “FOR” the election of Mses. Fitta and Shetty as the Class II directors.</w:t>
      </w:r>
    </w:p>
    <w:p>
      <w:pPr>
        <w:spacing w:after="0" w:line="12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have three classes of directors, currently consisting of one Class I director, two Class II directors and two Class III directors. At each annual meeting of stockholders, directors are elected for a full term of three years to succeed those whose terms are expiring. The terms of the three classes are staggered in a manner so that only one class is elected by stockholders annually. Bilal Rashid is currently serving as the Class I director and his term expires in 2028. Kate M. Fitta and Romita Shetty are currently serving as Class II directors, whose terms expire in 2026. Kathleen M. Griggs and Jeffrey A. Cerny are currently serving as Class III directors, whose terms expire in 2027. The Class II directors elected this year will serve as members of our board of directors until the 2029 annual meeting of stockholders, or until their successors are elected and qualified.</w:t>
      </w:r>
    </w:p>
    <w:p>
      <w:pPr>
        <w:spacing w:after="0" w:line="7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persons named in the enclosed proxy cards will vote to elect Mses. Fitta and Shetty as the Class II directors unless you cast a vote to “withhold authority” by marking the applicable proxy card (whether executed by you or through the Internet or telephonic voting). Mses. Fitta and Shetty currently serve on our board of directors, have indicated their willingness to continue to serve if elected and have consented to be named as the nominees. However, if the director nominees should be unable to serve, the shares of Common Stock and Preferred Stock represented by proxies may be voted for substitute nominees designated by our board of directors. Our board of directors has no reason to believe that the nominees will be unable to serve if elected.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Nominees and Incumbent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Nominees</w:t>
      </w:r>
    </w:p>
    <w:tbl>
      <w:tblPr>
        <w:tblLayout w:type="fixed"/>
        <w:tblInd w:w="0" w:type="dxa"/>
        <w:tblCellMar>
          <w:top w:w="0" w:type="dxa"/>
          <w:left w:w="0" w:type="dxa"/>
          <w:bottom w:w="0" w:type="dxa"/>
          <w:right w:w="0" w:type="dxa"/>
        </w:tblCellMar>
      </w:tblPr>
      <w:tr>
        <w:trPr>
          <w:trHeight w:val="155"/>
        </w:trPr>
        <w:tc>
          <w:tcPr>
            <w:tcW w:w="16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Age</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1000" w:type="dxa"/>
            <w:vAlign w:val="bottom"/>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Term</w:t>
            </w:r>
          </w:p>
        </w:tc>
        <w:tc>
          <w:tcPr>
            <w:tcW w:w="29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Primary Occupation</w:t>
            </w:r>
          </w:p>
        </w:tc>
        <w:tc>
          <w:tcPr>
            <w:tcW w:w="1460" w:type="dxa"/>
            <w:vAlign w:val="bottom"/>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1860" w:type="dxa"/>
            <w:vAlign w:val="bottom"/>
          </w:tcPr>
          <w:p>
            <w:pPr>
              <w:jc w:val="center"/>
              <w:ind w:left="68"/>
              <w:spacing w:after="0" w:line="155" w:lineRule="exact"/>
              <w:rPr>
                <w:sz w:val="20"/>
                <w:szCs w:val="20"/>
                <w:color w:val="auto"/>
              </w:rPr>
            </w:pPr>
            <w:r>
              <w:rPr>
                <w:rFonts w:ascii="Times New Roman" w:cs="Times New Roman" w:eastAsia="Times New Roman" w:hAnsi="Times New Roman"/>
                <w:sz w:val="14"/>
                <w:szCs w:val="14"/>
                <w:b w:val="1"/>
                <w:bCs w:val="1"/>
                <w:color w:val="auto"/>
              </w:rPr>
              <w:t>Other Public Company</w:t>
            </w:r>
          </w:p>
        </w:tc>
        <w:tc>
          <w:tcPr>
            <w:tcW w:w="0" w:type="dxa"/>
            <w:vAlign w:val="bottom"/>
          </w:tcPr>
          <w:p>
            <w:pPr>
              <w:spacing w:after="0"/>
              <w:rPr>
                <w:sz w:val="1"/>
                <w:szCs w:val="1"/>
                <w:color w:val="auto"/>
              </w:rPr>
            </w:pPr>
          </w:p>
        </w:tc>
      </w:tr>
      <w:tr>
        <w:trPr>
          <w:trHeight w:val="173"/>
        </w:trPr>
        <w:tc>
          <w:tcPr>
            <w:tcW w:w="168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Expiring</w:t>
            </w:r>
          </w:p>
        </w:tc>
        <w:tc>
          <w:tcPr>
            <w:tcW w:w="2900" w:type="dxa"/>
            <w:vAlign w:val="bottom"/>
            <w:tcBorders>
              <w:bottom w:val="single" w:sz="8" w:color="auto"/>
            </w:tcBorders>
            <w:vMerge w:val="continue"/>
          </w:tcPr>
          <w:p>
            <w:pPr>
              <w:spacing w:after="0"/>
              <w:rPr>
                <w:sz w:val="15"/>
                <w:szCs w:val="15"/>
                <w:color w:val="auto"/>
              </w:rPr>
            </w:pPr>
          </w:p>
        </w:tc>
        <w:tc>
          <w:tcPr>
            <w:tcW w:w="1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Memberships(1)</w:t>
            </w:r>
          </w:p>
        </w:tc>
        <w:tc>
          <w:tcPr>
            <w:tcW w:w="18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Boards</w:t>
            </w:r>
          </w:p>
        </w:tc>
        <w:tc>
          <w:tcPr>
            <w:tcW w:w="0" w:type="dxa"/>
            <w:vAlign w:val="bottom"/>
          </w:tcPr>
          <w:p>
            <w:pPr>
              <w:spacing w:after="0"/>
              <w:rPr>
                <w:sz w:val="1"/>
                <w:szCs w:val="1"/>
                <w:color w:val="auto"/>
              </w:rPr>
            </w:pPr>
          </w:p>
        </w:tc>
      </w:tr>
      <w:tr>
        <w:trPr>
          <w:trHeight w:val="142"/>
        </w:trPr>
        <w:tc>
          <w:tcPr>
            <w:tcW w:w="1680" w:type="dxa"/>
            <w:vAlign w:val="bottom"/>
            <w:shd w:val="clear" w:color="auto" w:fill="CCECFF"/>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Kate M. Fitta*</w:t>
            </w:r>
          </w:p>
        </w:tc>
        <w:tc>
          <w:tcPr>
            <w:tcW w:w="960" w:type="dxa"/>
            <w:vAlign w:val="bottom"/>
            <w:shd w:val="clear" w:color="auto" w:fill="CCECFF"/>
          </w:tcPr>
          <w:p>
            <w:pPr>
              <w:ind w:left="520"/>
              <w:spacing w:after="0" w:line="142" w:lineRule="exact"/>
              <w:rPr>
                <w:sz w:val="20"/>
                <w:szCs w:val="20"/>
                <w:color w:val="auto"/>
              </w:rPr>
            </w:pPr>
            <w:r>
              <w:rPr>
                <w:rFonts w:ascii="Times New Roman" w:cs="Times New Roman" w:eastAsia="Times New Roman" w:hAnsi="Times New Roman"/>
                <w:sz w:val="14"/>
                <w:szCs w:val="14"/>
                <w:color w:val="auto"/>
              </w:rPr>
              <w:t>55</w:t>
            </w:r>
          </w:p>
        </w:tc>
        <w:tc>
          <w:tcPr>
            <w:tcW w:w="1260" w:type="dxa"/>
            <w:vAlign w:val="bottom"/>
            <w:shd w:val="clear" w:color="auto" w:fill="CCECFF"/>
          </w:tcPr>
          <w:p>
            <w:pPr>
              <w:ind w:left="200"/>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0" w:type="dxa"/>
            <w:vAlign w:val="bottom"/>
            <w:shd w:val="clear" w:color="auto" w:fill="CCECFF"/>
          </w:tcPr>
          <w:p>
            <w:pPr>
              <w:ind w:left="180"/>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2900" w:type="dxa"/>
            <w:vAlign w:val="bottom"/>
            <w:shd w:val="clear" w:color="auto" w:fill="CCECFF"/>
          </w:tcPr>
          <w:p>
            <w:pPr>
              <w:ind w:left="280"/>
              <w:spacing w:after="0" w:line="142" w:lineRule="exact"/>
              <w:rPr>
                <w:sz w:val="20"/>
                <w:szCs w:val="20"/>
                <w:color w:val="auto"/>
              </w:rPr>
            </w:pPr>
            <w:r>
              <w:rPr>
                <w:rFonts w:ascii="Times New Roman" w:cs="Times New Roman" w:eastAsia="Times New Roman" w:hAnsi="Times New Roman"/>
                <w:sz w:val="14"/>
                <w:szCs w:val="14"/>
                <w:color w:val="auto"/>
              </w:rPr>
              <w:t>Principal of Burren Green</w:t>
            </w:r>
          </w:p>
        </w:tc>
        <w:tc>
          <w:tcPr>
            <w:tcW w:w="1460" w:type="dxa"/>
            <w:vAlign w:val="bottom"/>
            <w:shd w:val="clear" w:color="auto" w:fill="CCECFF"/>
          </w:tcPr>
          <w:p>
            <w:pPr>
              <w:ind w:left="180"/>
              <w:spacing w:after="0" w:line="142" w:lineRule="exact"/>
              <w:rPr>
                <w:sz w:val="20"/>
                <w:szCs w:val="20"/>
                <w:color w:val="auto"/>
              </w:rPr>
            </w:pPr>
            <w:r>
              <w:rPr>
                <w:rFonts w:ascii="Times New Roman" w:cs="Times New Roman" w:eastAsia="Times New Roman" w:hAnsi="Times New Roman"/>
                <w:sz w:val="14"/>
                <w:szCs w:val="14"/>
                <w:color w:val="auto"/>
              </w:rPr>
              <w:t>A, C, N (chair)</w:t>
            </w:r>
          </w:p>
        </w:tc>
        <w:tc>
          <w:tcPr>
            <w:tcW w:w="1860" w:type="dxa"/>
            <w:vAlign w:val="bottom"/>
            <w:shd w:val="clear" w:color="auto" w:fill="CCECFF"/>
          </w:tcPr>
          <w:p>
            <w:pPr>
              <w:jc w:val="center"/>
              <w:ind w:left="108"/>
              <w:spacing w:after="0" w:line="142"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26"/>
        </w:trPr>
        <w:tc>
          <w:tcPr>
            <w:tcW w:w="168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b w:val="1"/>
                <w:bCs w:val="1"/>
                <w:color w:val="auto"/>
              </w:rPr>
              <w:t>Romita Shetty *†</w:t>
            </w:r>
          </w:p>
        </w:tc>
        <w:tc>
          <w:tcPr>
            <w:tcW w:w="960" w:type="dxa"/>
            <w:vAlign w:val="bottom"/>
          </w:tcPr>
          <w:p>
            <w:pPr>
              <w:ind w:left="520"/>
              <w:spacing w:after="0" w:line="126" w:lineRule="exact"/>
              <w:rPr>
                <w:sz w:val="20"/>
                <w:szCs w:val="20"/>
                <w:color w:val="auto"/>
              </w:rPr>
            </w:pPr>
            <w:r>
              <w:rPr>
                <w:rFonts w:ascii="Times New Roman" w:cs="Times New Roman" w:eastAsia="Times New Roman" w:hAnsi="Times New Roman"/>
                <w:sz w:val="14"/>
                <w:szCs w:val="14"/>
                <w:color w:val="auto"/>
              </w:rPr>
              <w:t>60</w:t>
            </w:r>
          </w:p>
        </w:tc>
        <w:tc>
          <w:tcPr>
            <w:tcW w:w="126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2018</w:t>
            </w:r>
          </w:p>
        </w:tc>
        <w:tc>
          <w:tcPr>
            <w:tcW w:w="10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2026</w:t>
            </w:r>
          </w:p>
        </w:tc>
        <w:tc>
          <w:tcPr>
            <w:tcW w:w="290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Principal of DA Companies, parent of DA</w:t>
            </w:r>
          </w:p>
        </w:tc>
        <w:tc>
          <w:tcPr>
            <w:tcW w:w="14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A, C (chair), N</w:t>
            </w:r>
          </w:p>
        </w:tc>
        <w:tc>
          <w:tcPr>
            <w:tcW w:w="1860" w:type="dxa"/>
            <w:vAlign w:val="bottom"/>
          </w:tcPr>
          <w:p>
            <w:pPr>
              <w:jc w:val="center"/>
              <w:ind w:left="108"/>
              <w:spacing w:after="0" w:line="126"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8"/>
        </w:trPr>
        <w:tc>
          <w:tcPr>
            <w:tcW w:w="1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Capital LLC</w:t>
            </w:r>
          </w:p>
        </w:tc>
        <w:tc>
          <w:tcPr>
            <w:tcW w:w="14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Incumbent Directors</w:t>
      </w:r>
    </w:p>
    <w:tbl>
      <w:tblPr>
        <w:tblLayout w:type="fixed"/>
        <w:tblInd w:w="0" w:type="dxa"/>
        <w:tblCellMar>
          <w:top w:w="0" w:type="dxa"/>
          <w:left w:w="0" w:type="dxa"/>
          <w:bottom w:w="0" w:type="dxa"/>
          <w:right w:w="0" w:type="dxa"/>
        </w:tblCellMar>
      </w:tblPr>
      <w:tr>
        <w:trPr>
          <w:trHeight w:val="155"/>
        </w:trPr>
        <w:tc>
          <w:tcPr>
            <w:tcW w:w="100" w:type="dxa"/>
            <w:vAlign w:val="bottom"/>
          </w:tcPr>
          <w:p>
            <w:pPr>
              <w:spacing w:after="0"/>
              <w:rPr>
                <w:sz w:val="13"/>
                <w:szCs w:val="13"/>
                <w:color w:val="auto"/>
              </w:rPr>
            </w:pPr>
          </w:p>
        </w:tc>
        <w:tc>
          <w:tcPr>
            <w:tcW w:w="1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Age</w:t>
            </w:r>
          </w:p>
        </w:tc>
        <w:tc>
          <w:tcPr>
            <w:tcW w:w="13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960" w:type="dxa"/>
            <w:vAlign w:val="bottom"/>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Term</w:t>
            </w:r>
          </w:p>
        </w:tc>
        <w:tc>
          <w:tcPr>
            <w:tcW w:w="28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Primary Occupation</w:t>
            </w:r>
          </w:p>
        </w:tc>
        <w:tc>
          <w:tcPr>
            <w:tcW w:w="154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1920" w:type="dxa"/>
            <w:vAlign w:val="bottom"/>
          </w:tcPr>
          <w:p>
            <w:pPr>
              <w:ind w:left="340"/>
              <w:spacing w:after="0" w:line="155" w:lineRule="exact"/>
              <w:rPr>
                <w:sz w:val="20"/>
                <w:szCs w:val="20"/>
                <w:color w:val="auto"/>
              </w:rPr>
            </w:pPr>
            <w:r>
              <w:rPr>
                <w:rFonts w:ascii="Times New Roman" w:cs="Times New Roman" w:eastAsia="Times New Roman" w:hAnsi="Times New Roman"/>
                <w:sz w:val="14"/>
                <w:szCs w:val="14"/>
                <w:b w:val="1"/>
                <w:bCs w:val="1"/>
                <w:color w:val="auto"/>
              </w:rPr>
              <w:t>Other Public Company</w:t>
            </w:r>
          </w:p>
        </w:tc>
        <w:tc>
          <w:tcPr>
            <w:tcW w:w="0" w:type="dxa"/>
            <w:vAlign w:val="bottom"/>
          </w:tcPr>
          <w:p>
            <w:pPr>
              <w:spacing w:after="0"/>
              <w:rPr>
                <w:sz w:val="1"/>
                <w:szCs w:val="1"/>
                <w:color w:val="auto"/>
              </w:rPr>
            </w:pPr>
          </w:p>
        </w:tc>
      </w:tr>
      <w:tr>
        <w:trPr>
          <w:trHeight w:val="173"/>
        </w:trPr>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Expiring</w:t>
            </w:r>
          </w:p>
        </w:tc>
        <w:tc>
          <w:tcPr>
            <w:tcW w:w="2820" w:type="dxa"/>
            <w:vAlign w:val="bottom"/>
            <w:tcBorders>
              <w:bottom w:val="single" w:sz="8" w:color="auto"/>
            </w:tcBorders>
            <w:vMerge w:val="continue"/>
          </w:tcPr>
          <w:p>
            <w:pPr>
              <w:spacing w:after="0"/>
              <w:rPr>
                <w:sz w:val="15"/>
                <w:szCs w:val="15"/>
                <w:color w:val="auto"/>
              </w:rPr>
            </w:pPr>
          </w:p>
        </w:tc>
        <w:tc>
          <w:tcPr>
            <w:tcW w:w="15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Memberships(1)</w:t>
            </w:r>
          </w:p>
        </w:tc>
        <w:tc>
          <w:tcPr>
            <w:tcW w:w="19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Boards</w:t>
            </w:r>
          </w:p>
        </w:tc>
        <w:tc>
          <w:tcPr>
            <w:tcW w:w="0" w:type="dxa"/>
            <w:vAlign w:val="bottom"/>
          </w:tcPr>
          <w:p>
            <w:pPr>
              <w:spacing w:after="0"/>
              <w:rPr>
                <w:sz w:val="1"/>
                <w:szCs w:val="1"/>
                <w:color w:val="auto"/>
              </w:rPr>
            </w:pPr>
          </w:p>
        </w:tc>
      </w:tr>
      <w:tr>
        <w:trPr>
          <w:trHeight w:val="119"/>
        </w:trPr>
        <w:tc>
          <w:tcPr>
            <w:tcW w:w="100" w:type="dxa"/>
            <w:vAlign w:val="bottom"/>
            <w:shd w:val="clear" w:color="auto" w:fill="CCECFF"/>
          </w:tcPr>
          <w:p>
            <w:pPr>
              <w:spacing w:after="0"/>
              <w:rPr>
                <w:sz w:val="10"/>
                <w:szCs w:val="10"/>
                <w:color w:val="auto"/>
              </w:rPr>
            </w:pPr>
          </w:p>
        </w:tc>
        <w:tc>
          <w:tcPr>
            <w:tcW w:w="1800" w:type="dxa"/>
            <w:vAlign w:val="bottom"/>
            <w:shd w:val="clear" w:color="auto" w:fill="CCEC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Bilal Rashid</w:t>
            </w:r>
          </w:p>
        </w:tc>
        <w:tc>
          <w:tcPr>
            <w:tcW w:w="800" w:type="dxa"/>
            <w:vAlign w:val="bottom"/>
            <w:shd w:val="clear" w:color="auto" w:fill="CCECFF"/>
          </w:tcPr>
          <w:p>
            <w:pPr>
              <w:ind w:left="340"/>
              <w:spacing w:after="0" w:line="119" w:lineRule="exact"/>
              <w:rPr>
                <w:sz w:val="20"/>
                <w:szCs w:val="20"/>
                <w:color w:val="auto"/>
              </w:rPr>
            </w:pPr>
            <w:r>
              <w:rPr>
                <w:rFonts w:ascii="Times New Roman" w:cs="Times New Roman" w:eastAsia="Times New Roman" w:hAnsi="Times New Roman"/>
                <w:sz w:val="13"/>
                <w:szCs w:val="13"/>
                <w:color w:val="auto"/>
              </w:rPr>
              <w:t>55</w:t>
            </w:r>
          </w:p>
        </w:tc>
        <w:tc>
          <w:tcPr>
            <w:tcW w:w="1300" w:type="dxa"/>
            <w:vAlign w:val="bottom"/>
            <w:shd w:val="clear" w:color="auto" w:fill="CCECFF"/>
          </w:tcPr>
          <w:p>
            <w:pPr>
              <w:ind w:left="220"/>
              <w:spacing w:after="0" w:line="119" w:lineRule="exact"/>
              <w:rPr>
                <w:sz w:val="20"/>
                <w:szCs w:val="20"/>
                <w:color w:val="auto"/>
              </w:rPr>
            </w:pPr>
            <w:r>
              <w:rPr>
                <w:rFonts w:ascii="Times New Roman" w:cs="Times New Roman" w:eastAsia="Times New Roman" w:hAnsi="Times New Roman"/>
                <w:sz w:val="13"/>
                <w:szCs w:val="13"/>
                <w:color w:val="auto"/>
              </w:rPr>
              <w:t>2017</w:t>
            </w:r>
          </w:p>
        </w:tc>
        <w:tc>
          <w:tcPr>
            <w:tcW w:w="960" w:type="dxa"/>
            <w:vAlign w:val="bottom"/>
            <w:shd w:val="clear" w:color="auto" w:fill="CCECFF"/>
          </w:tcPr>
          <w:p>
            <w:pPr>
              <w:ind w:left="180"/>
              <w:spacing w:after="0" w:line="119" w:lineRule="exact"/>
              <w:rPr>
                <w:sz w:val="20"/>
                <w:szCs w:val="20"/>
                <w:color w:val="auto"/>
              </w:rPr>
            </w:pPr>
            <w:r>
              <w:rPr>
                <w:rFonts w:ascii="Times New Roman" w:cs="Times New Roman" w:eastAsia="Times New Roman" w:hAnsi="Times New Roman"/>
                <w:sz w:val="13"/>
                <w:szCs w:val="13"/>
                <w:color w:val="auto"/>
              </w:rPr>
              <w:t>2028</w:t>
            </w:r>
          </w:p>
        </w:tc>
        <w:tc>
          <w:tcPr>
            <w:tcW w:w="2820" w:type="dxa"/>
            <w:vAlign w:val="bottom"/>
            <w:shd w:val="clear" w:color="auto" w:fill="CCECFF"/>
          </w:tcPr>
          <w:p>
            <w:pPr>
              <w:ind w:left="220"/>
              <w:spacing w:after="0" w:line="119" w:lineRule="exact"/>
              <w:rPr>
                <w:sz w:val="20"/>
                <w:szCs w:val="20"/>
                <w:color w:val="auto"/>
              </w:rPr>
            </w:pPr>
            <w:r>
              <w:rPr>
                <w:rFonts w:ascii="Times New Roman" w:cs="Times New Roman" w:eastAsia="Times New Roman" w:hAnsi="Times New Roman"/>
                <w:sz w:val="13"/>
                <w:szCs w:val="13"/>
                <w:color w:val="auto"/>
              </w:rPr>
              <w:t>Chairman, President and Chief Executive</w:t>
            </w:r>
          </w:p>
        </w:tc>
        <w:tc>
          <w:tcPr>
            <w:tcW w:w="1540" w:type="dxa"/>
            <w:vAlign w:val="bottom"/>
            <w:shd w:val="clear" w:color="auto" w:fill="CCECFF"/>
          </w:tcPr>
          <w:p>
            <w:pPr>
              <w:ind w:left="200"/>
              <w:spacing w:after="0" w:line="119" w:lineRule="exact"/>
              <w:rPr>
                <w:sz w:val="20"/>
                <w:szCs w:val="20"/>
                <w:color w:val="auto"/>
              </w:rPr>
            </w:pPr>
            <w:r>
              <w:rPr>
                <w:rFonts w:ascii="Times New Roman" w:cs="Times New Roman" w:eastAsia="Times New Roman" w:hAnsi="Times New Roman"/>
                <w:sz w:val="13"/>
                <w:szCs w:val="13"/>
                <w:color w:val="auto"/>
              </w:rPr>
              <w:t>―</w:t>
            </w:r>
          </w:p>
        </w:tc>
        <w:tc>
          <w:tcPr>
            <w:tcW w:w="1920" w:type="dxa"/>
            <w:vAlign w:val="bottom"/>
            <w:shd w:val="clear" w:color="auto" w:fill="CCECFF"/>
          </w:tcPr>
          <w:p>
            <w:pPr>
              <w:jc w:val="right"/>
              <w:ind w:right="729"/>
              <w:spacing w:after="0" w:line="119"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1"/>
        </w:trPr>
        <w:tc>
          <w:tcPr>
            <w:tcW w:w="100" w:type="dxa"/>
            <w:vAlign w:val="bottom"/>
            <w:shd w:val="clear" w:color="auto" w:fill="CCECFF"/>
          </w:tcPr>
          <w:p>
            <w:pPr>
              <w:spacing w:after="0"/>
              <w:rPr>
                <w:sz w:val="14"/>
                <w:szCs w:val="14"/>
                <w:color w:val="auto"/>
              </w:rPr>
            </w:pPr>
          </w:p>
        </w:tc>
        <w:tc>
          <w:tcPr>
            <w:tcW w:w="180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13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2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4"/>
                <w:szCs w:val="14"/>
                <w:color w:val="auto"/>
              </w:rPr>
              <w:t>Officer of the Company</w:t>
            </w:r>
          </w:p>
        </w:tc>
        <w:tc>
          <w:tcPr>
            <w:tcW w:w="1540" w:type="dxa"/>
            <w:vAlign w:val="bottom"/>
            <w:shd w:val="clear" w:color="auto" w:fill="CCECFF"/>
          </w:tcPr>
          <w:p>
            <w:pPr>
              <w:spacing w:after="0"/>
              <w:rPr>
                <w:sz w:val="14"/>
                <w:szCs w:val="14"/>
                <w:color w:val="auto"/>
              </w:rPr>
            </w:pPr>
          </w:p>
        </w:tc>
        <w:tc>
          <w:tcPr>
            <w:tcW w:w="19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8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Jeffrey A. Cerny</w:t>
            </w:r>
          </w:p>
        </w:tc>
        <w:tc>
          <w:tcPr>
            <w:tcW w:w="8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3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2017</w:t>
            </w:r>
          </w:p>
        </w:tc>
        <w:tc>
          <w:tcPr>
            <w:tcW w:w="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28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Retired</w:t>
            </w:r>
          </w:p>
        </w:tc>
        <w:tc>
          <w:tcPr>
            <w:tcW w:w="1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ind w:right="729"/>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100" w:type="dxa"/>
            <w:vAlign w:val="bottom"/>
            <w:shd w:val="clear" w:color="auto" w:fill="CCECFF"/>
          </w:tcPr>
          <w:p>
            <w:pPr>
              <w:spacing w:after="0"/>
              <w:rPr>
                <w:sz w:val="10"/>
                <w:szCs w:val="10"/>
                <w:color w:val="auto"/>
              </w:rPr>
            </w:pPr>
          </w:p>
        </w:tc>
        <w:tc>
          <w:tcPr>
            <w:tcW w:w="1800" w:type="dxa"/>
            <w:vAlign w:val="bottom"/>
            <w:shd w:val="clear" w:color="auto" w:fill="CCECFF"/>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Kathleen M. Griggs*†</w:t>
            </w:r>
          </w:p>
        </w:tc>
        <w:tc>
          <w:tcPr>
            <w:tcW w:w="800" w:type="dxa"/>
            <w:vAlign w:val="bottom"/>
            <w:shd w:val="clear" w:color="auto" w:fill="CCECFF"/>
          </w:tcPr>
          <w:p>
            <w:pPr>
              <w:ind w:left="340"/>
              <w:spacing w:after="0" w:line="126" w:lineRule="exact"/>
              <w:rPr>
                <w:sz w:val="20"/>
                <w:szCs w:val="20"/>
                <w:color w:val="auto"/>
              </w:rPr>
            </w:pPr>
            <w:r>
              <w:rPr>
                <w:rFonts w:ascii="Times New Roman" w:cs="Times New Roman" w:eastAsia="Times New Roman" w:hAnsi="Times New Roman"/>
                <w:sz w:val="14"/>
                <w:szCs w:val="14"/>
                <w:color w:val="auto"/>
              </w:rPr>
              <w:t>71</w:t>
            </w:r>
          </w:p>
        </w:tc>
        <w:tc>
          <w:tcPr>
            <w:tcW w:w="1300" w:type="dxa"/>
            <w:vAlign w:val="bottom"/>
            <w:shd w:val="clear" w:color="auto" w:fill="CCECFF"/>
          </w:tcPr>
          <w:p>
            <w:pPr>
              <w:ind w:left="220"/>
              <w:spacing w:after="0" w:line="126" w:lineRule="exact"/>
              <w:rPr>
                <w:sz w:val="20"/>
                <w:szCs w:val="20"/>
                <w:color w:val="auto"/>
              </w:rPr>
            </w:pPr>
            <w:r>
              <w:rPr>
                <w:rFonts w:ascii="Times New Roman" w:cs="Times New Roman" w:eastAsia="Times New Roman" w:hAnsi="Times New Roman"/>
                <w:sz w:val="14"/>
                <w:szCs w:val="14"/>
                <w:color w:val="auto"/>
              </w:rPr>
              <w:t>2018</w:t>
            </w:r>
          </w:p>
        </w:tc>
        <w:tc>
          <w:tcPr>
            <w:tcW w:w="960" w:type="dxa"/>
            <w:vAlign w:val="bottom"/>
            <w:shd w:val="clear" w:color="auto" w:fill="CCECFF"/>
          </w:tcPr>
          <w:p>
            <w:pPr>
              <w:ind w:left="180"/>
              <w:spacing w:after="0" w:line="126" w:lineRule="exact"/>
              <w:rPr>
                <w:sz w:val="20"/>
                <w:szCs w:val="20"/>
                <w:color w:val="auto"/>
              </w:rPr>
            </w:pPr>
            <w:r>
              <w:rPr>
                <w:rFonts w:ascii="Times New Roman" w:cs="Times New Roman" w:eastAsia="Times New Roman" w:hAnsi="Times New Roman"/>
                <w:sz w:val="14"/>
                <w:szCs w:val="14"/>
                <w:color w:val="auto"/>
              </w:rPr>
              <w:t>2027</w:t>
            </w:r>
          </w:p>
        </w:tc>
        <w:tc>
          <w:tcPr>
            <w:tcW w:w="2820" w:type="dxa"/>
            <w:vAlign w:val="bottom"/>
            <w:shd w:val="clear" w:color="auto" w:fill="CCECFF"/>
          </w:tcPr>
          <w:p>
            <w:pPr>
              <w:ind w:left="220"/>
              <w:spacing w:after="0" w:line="126" w:lineRule="exact"/>
              <w:rPr>
                <w:sz w:val="20"/>
                <w:szCs w:val="20"/>
                <w:color w:val="auto"/>
              </w:rPr>
            </w:pPr>
            <w:r>
              <w:rPr>
                <w:rFonts w:ascii="Times New Roman" w:cs="Times New Roman" w:eastAsia="Times New Roman" w:hAnsi="Times New Roman"/>
                <w:sz w:val="14"/>
                <w:szCs w:val="14"/>
                <w:color w:val="auto"/>
              </w:rPr>
              <w:t>Managing Director of Griggs Consulting,</w:t>
            </w:r>
          </w:p>
        </w:tc>
        <w:tc>
          <w:tcPr>
            <w:tcW w:w="1540" w:type="dxa"/>
            <w:vAlign w:val="bottom"/>
            <w:shd w:val="clear" w:color="auto" w:fill="CCECFF"/>
          </w:tcPr>
          <w:p>
            <w:pPr>
              <w:ind w:left="200"/>
              <w:spacing w:after="0" w:line="126" w:lineRule="exact"/>
              <w:rPr>
                <w:sz w:val="20"/>
                <w:szCs w:val="20"/>
                <w:color w:val="auto"/>
              </w:rPr>
            </w:pPr>
            <w:r>
              <w:rPr>
                <w:rFonts w:ascii="Times New Roman" w:cs="Times New Roman" w:eastAsia="Times New Roman" w:hAnsi="Times New Roman"/>
                <w:sz w:val="14"/>
                <w:szCs w:val="14"/>
                <w:color w:val="auto"/>
              </w:rPr>
              <w:t>A (chair), C, N</w:t>
            </w:r>
          </w:p>
        </w:tc>
        <w:tc>
          <w:tcPr>
            <w:tcW w:w="1920" w:type="dxa"/>
            <w:vAlign w:val="bottom"/>
            <w:shd w:val="clear" w:color="auto" w:fill="CCECFF"/>
          </w:tcPr>
          <w:p>
            <w:pPr>
              <w:jc w:val="right"/>
              <w:ind w:right="729"/>
              <w:spacing w:after="0" w:line="126"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1"/>
        </w:trPr>
        <w:tc>
          <w:tcPr>
            <w:tcW w:w="100" w:type="dxa"/>
            <w:vAlign w:val="bottom"/>
            <w:shd w:val="clear" w:color="auto" w:fill="CCECFF"/>
          </w:tcPr>
          <w:p>
            <w:pPr>
              <w:spacing w:after="0"/>
              <w:rPr>
                <w:sz w:val="14"/>
                <w:szCs w:val="14"/>
                <w:color w:val="auto"/>
              </w:rPr>
            </w:pPr>
          </w:p>
        </w:tc>
        <w:tc>
          <w:tcPr>
            <w:tcW w:w="180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13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2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4"/>
                <w:szCs w:val="14"/>
                <w:color w:val="auto"/>
              </w:rPr>
              <w:t>LLC</w:t>
            </w:r>
          </w:p>
        </w:tc>
        <w:tc>
          <w:tcPr>
            <w:tcW w:w="1540" w:type="dxa"/>
            <w:vAlign w:val="bottom"/>
            <w:shd w:val="clear" w:color="auto" w:fill="CCECFF"/>
          </w:tcPr>
          <w:p>
            <w:pPr>
              <w:spacing w:after="0"/>
              <w:rPr>
                <w:sz w:val="14"/>
                <w:szCs w:val="14"/>
                <w:color w:val="auto"/>
              </w:rPr>
            </w:pPr>
          </w:p>
        </w:tc>
        <w:tc>
          <w:tcPr>
            <w:tcW w:w="19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Independent Director</w:t>
            </w:r>
          </w:p>
        </w:tc>
        <w:tc>
          <w:tcPr>
            <w:tcW w:w="8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Preferred Stock Director</w:t>
            </w: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400" w:hanging="392"/>
        <w:spacing w:after="0"/>
        <w:tabs>
          <w:tab w:leader="none" w:pos="4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 Audit Committee, C = Compensation Committee, N = Nominating and Corporate Governance Committee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Qualifications</w:t>
      </w:r>
    </w:p>
    <w:p>
      <w:pPr>
        <w:spacing w:after="0" w:line="12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considering whether to recommend any particular candidate for inclusion in the board of director’s slate of recommended director nominees, the nominating and corporate governance committee applies the criteria attached to its charter. These criteria include the candidate’s integrity, business acumen, knowledge of our business and industry, experience, diligence, conflicts of interest and the ability to act in the interests of all stockholders. The nominating and corporate governance committee does not assign specific weights to particular criteria and no particular criterion is a prerequisite for each prospective nominee.</w:t>
      </w:r>
    </w:p>
    <w:p>
      <w:pPr>
        <w:spacing w:after="0" w:line="7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believe that our directors and director nominees have an appropriate balance of knowledge, experience, attributes, skills and expertise required for our board of directors as a whole and that we have sufficient independent directors to comply with applicable law and regulations. We believe that our directors have a broad range of personal and professional characteristics. The following tables summarize certain of these key qualifications, attributes, skills and experiences, and identify director candidates possessing the same.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ind w:left="660"/>
        <w:spacing w:after="0"/>
        <w:tabs>
          <w:tab w:leader="none" w:pos="6900" w:val="left"/>
        </w:tabs>
        <w:rPr>
          <w:sz w:val="20"/>
          <w:szCs w:val="20"/>
          <w:color w:val="auto"/>
        </w:rPr>
      </w:pPr>
      <w:r>
        <w:rPr>
          <w:rFonts w:ascii="Times New Roman" w:cs="Times New Roman" w:eastAsia="Times New Roman" w:hAnsi="Times New Roman"/>
          <w:sz w:val="13"/>
          <w:szCs w:val="13"/>
          <w:b w:val="1"/>
          <w:bCs w:val="1"/>
          <w:color w:val="auto"/>
        </w:rPr>
        <w:t>Experience, Expertise or Attribute</w:t>
      </w:r>
      <w:r>
        <w:rPr>
          <w:sz w:val="20"/>
          <w:szCs w:val="20"/>
          <w:color w:val="auto"/>
        </w:rPr>
        <w:tab/>
      </w:r>
      <w:r>
        <w:rPr>
          <w:rFonts w:ascii="Times New Roman" w:cs="Times New Roman" w:eastAsia="Times New Roman" w:hAnsi="Times New Roman"/>
          <w:sz w:val="13"/>
          <w:szCs w:val="13"/>
          <w:b w:val="1"/>
          <w:bCs w:val="1"/>
          <w:color w:val="auto"/>
        </w:rPr>
        <w:t>Importance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p>
      <w:pPr>
        <w:spacing w:after="0" w:line="1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Leadership and Management Ability (L)</w:t>
      </w:r>
    </w:p>
    <w:p>
      <w:pPr>
        <w:spacing w:after="0" w:line="2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Financial Experience (FE)</w:t>
      </w:r>
    </w:p>
    <w:p>
      <w:pPr>
        <w:spacing w:after="0" w:line="1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Audit and Financial Reporting (AFR)</w:t>
      </w:r>
    </w:p>
    <w:p>
      <w:pPr>
        <w:spacing w:after="0" w:line="1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Structured Finance Experience (SFE)</w:t>
      </w:r>
    </w:p>
    <w:p>
      <w:pPr>
        <w:spacing w:after="0" w:line="2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Corporate Governance (CG)</w:t>
      </w:r>
    </w:p>
    <w:p>
      <w:pPr>
        <w:spacing w:after="0" w:line="2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Innovation and Strategic Proposals (ISP)</w:t>
      </w:r>
    </w:p>
    <w:p>
      <w:pPr>
        <w:spacing w:after="0" w:line="2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Risk Management (RM)</w:t>
      </w:r>
    </w:p>
    <w:p>
      <w:pPr>
        <w:spacing w:after="0" w:line="2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Diversity (D)</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ind w:right="100"/>
        <w:spacing w:after="0" w:line="239" w:lineRule="auto"/>
        <w:rPr>
          <w:sz w:val="20"/>
          <w:szCs w:val="20"/>
          <w:color w:val="auto"/>
        </w:rPr>
      </w:pPr>
      <w:r>
        <w:rPr>
          <w:rFonts w:ascii="Times New Roman" w:cs="Times New Roman" w:eastAsia="Times New Roman" w:hAnsi="Times New Roman"/>
          <w:sz w:val="13"/>
          <w:szCs w:val="13"/>
          <w:color w:val="auto"/>
        </w:rPr>
        <w:t>The Company believes that those who have held significant executive leadership roles bring a unique perspective to board service. Generally, these individuals possess a number of important leadership qualities, including strategic planning skills, practical application of risk analysis, the ability to problem solve in even the most difficult of circumstances and the ability to make highly impactful, definitive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-282575</wp:posOffset>
            </wp:positionV>
            <wp:extent cx="7132320" cy="283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jc w:val="both"/>
        <w:ind w:right="100"/>
        <w:spacing w:after="0"/>
        <w:rPr>
          <w:sz w:val="20"/>
          <w:szCs w:val="20"/>
          <w:color w:val="auto"/>
        </w:rPr>
      </w:pPr>
      <w:r>
        <w:rPr>
          <w:rFonts w:ascii="Times New Roman" w:cs="Times New Roman" w:eastAsia="Times New Roman" w:hAnsi="Times New Roman"/>
          <w:sz w:val="13"/>
          <w:szCs w:val="13"/>
          <w:color w:val="auto"/>
        </w:rPr>
        <w:t>An understanding of finance, the financial services industry and asset management is an important component of serving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92710</wp:posOffset>
            </wp:positionV>
            <wp:extent cx="71323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28" w:lineRule="exact"/>
        <w:rPr>
          <w:sz w:val="20"/>
          <w:szCs w:val="20"/>
          <w:color w:val="auto"/>
        </w:rPr>
      </w:pPr>
    </w:p>
    <w:p>
      <w:pPr>
        <w:jc w:val="both"/>
        <w:ind w:right="100"/>
        <w:spacing w:after="0" w:line="238" w:lineRule="auto"/>
        <w:rPr>
          <w:sz w:val="20"/>
          <w:szCs w:val="20"/>
          <w:color w:val="auto"/>
        </w:rPr>
      </w:pPr>
      <w:r>
        <w:rPr>
          <w:rFonts w:ascii="Times New Roman" w:cs="Times New Roman" w:eastAsia="Times New Roman" w:hAnsi="Times New Roman"/>
          <w:sz w:val="13"/>
          <w:szCs w:val="13"/>
          <w:color w:val="auto"/>
        </w:rPr>
        <w:t>Experience as an accountant or auditor at a large accounting firm, chief financial officer, chief accounting officer or other similar position in accounting and financial reporting mitigates financial risks and enhances the oversight role of the board of directors.</w:t>
      </w:r>
    </w:p>
    <w:p>
      <w:pPr>
        <w:spacing w:after="0" w:line="1" w:lineRule="exact"/>
        <w:rPr>
          <w:sz w:val="20"/>
          <w:szCs w:val="20"/>
          <w:color w:val="auto"/>
        </w:rPr>
      </w:pPr>
    </w:p>
    <w:p>
      <w:pPr>
        <w:jc w:val="both"/>
        <w:ind w:right="100"/>
        <w:spacing w:after="0" w:line="238" w:lineRule="auto"/>
        <w:rPr>
          <w:sz w:val="20"/>
          <w:szCs w:val="20"/>
          <w:color w:val="auto"/>
        </w:rPr>
      </w:pPr>
      <w:r>
        <w:rPr>
          <w:rFonts w:ascii="Times New Roman" w:cs="Times New Roman" w:eastAsia="Times New Roman" w:hAnsi="Times New Roman"/>
          <w:sz w:val="13"/>
          <w:szCs w:val="13"/>
          <w:color w:val="auto"/>
        </w:rPr>
        <w:t>Directors with experience in structured finance transactions and investments possess additional qualifications to oversee the Company’s operations and investment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0</wp:posOffset>
            </wp:positionV>
            <wp:extent cx="7132320" cy="282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jc w:val="both"/>
        <w:ind w:right="100"/>
        <w:spacing w:after="0" w:line="238" w:lineRule="auto"/>
        <w:rPr>
          <w:sz w:val="20"/>
          <w:szCs w:val="20"/>
          <w:color w:val="auto"/>
        </w:rPr>
      </w:pPr>
      <w:r>
        <w:rPr>
          <w:rFonts w:ascii="Times New Roman" w:cs="Times New Roman" w:eastAsia="Times New Roman" w:hAnsi="Times New Roman"/>
          <w:sz w:val="13"/>
          <w:szCs w:val="13"/>
          <w:color w:val="auto"/>
        </w:rPr>
        <w:t>The rules, responsibilities and obligations governing the Company, and its subsidiaries, create the framework within which the Company operates and executes its strategic mission. As such, they create an important backdrop to every board discussion, decision and plan, and knowledge of these rules aids in fostering such discussions, making such decisions and creating such plans.</w:t>
      </w:r>
    </w:p>
    <w:p>
      <w:pPr>
        <w:spacing w:after="0" w:line="1" w:lineRule="exact"/>
        <w:rPr>
          <w:sz w:val="20"/>
          <w:szCs w:val="20"/>
          <w:color w:val="auto"/>
        </w:rPr>
      </w:pPr>
    </w:p>
    <w:p>
      <w:pPr>
        <w:jc w:val="both"/>
        <w:ind w:right="100"/>
        <w:spacing w:after="0" w:line="238" w:lineRule="auto"/>
        <w:rPr>
          <w:sz w:val="20"/>
          <w:szCs w:val="20"/>
          <w:color w:val="auto"/>
        </w:rPr>
      </w:pPr>
      <w:r>
        <w:rPr>
          <w:rFonts w:ascii="Times New Roman" w:cs="Times New Roman" w:eastAsia="Times New Roman" w:hAnsi="Times New Roman"/>
          <w:sz w:val="13"/>
          <w:szCs w:val="13"/>
          <w:color w:val="auto"/>
        </w:rPr>
        <w:t>The practical, solutions-oriented experience that comes with business operations and the planning, implementation and maintenance of strategic activities provides a valuable backdrop for the performance of board activities. Accordingly, the Company seeks and values directors with experience in a variety of business operations and 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0</wp:posOffset>
            </wp:positionV>
            <wp:extent cx="7132320" cy="282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jc w:val="both"/>
        <w:ind w:right="100"/>
        <w:spacing w:after="0" w:line="238" w:lineRule="auto"/>
        <w:rPr>
          <w:sz w:val="20"/>
          <w:szCs w:val="20"/>
          <w:color w:val="auto"/>
        </w:rPr>
      </w:pPr>
      <w:r>
        <w:rPr>
          <w:rFonts w:ascii="Times New Roman" w:cs="Times New Roman" w:eastAsia="Times New Roman" w:hAnsi="Times New Roman"/>
          <w:sz w:val="13"/>
          <w:szCs w:val="13"/>
          <w:color w:val="auto"/>
        </w:rPr>
        <w:t>Risk management plays an integral role in all facets of the Company’s decision-making and strategic planning. Failure to appropriately identify, anticipate or plan for, and respond to, material risks could have a meaningful, detrimental impact to the Company. Accordingly, directors with practical risk management experience are particularly important to the Company.</w:t>
      </w:r>
    </w:p>
    <w:p>
      <w:pPr>
        <w:spacing w:after="0" w:line="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3"/>
          <w:szCs w:val="13"/>
          <w:color w:val="auto"/>
        </w:rPr>
        <w:t>The Company recognizes that board diversity, including gender, race, ethnicity, expertise, experience, background and perspective, creates a more balanced, inclusive, and better prepared decision-making body.</w:t>
      </w:r>
    </w:p>
    <w:p>
      <w:pPr>
        <w:spacing w:after="0" w:line="200" w:lineRule="exact"/>
        <w:rPr>
          <w:sz w:val="20"/>
          <w:szCs w:val="20"/>
          <w:color w:val="auto"/>
        </w:rPr>
      </w:pPr>
    </w:p>
    <w:p>
      <w:pPr>
        <w:sectPr>
          <w:pgSz w:w="11900" w:h="16838" w:orient="portrait"/>
          <w:cols w:equalWidth="0" w:num="2">
            <w:col w:w="2660" w:space="720"/>
            <w:col w:w="7860"/>
          </w:cols>
          <w:pgMar w:left="320" w:top="879" w:right="339" w:bottom="1440" w:gutter="0" w:footer="0" w:header="0"/>
          <w:type w:val="continuous"/>
        </w:sectPr>
      </w:pP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25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center"/>
              <w:ind w:left="1013"/>
              <w:spacing w:after="0"/>
              <w:rPr>
                <w:sz w:val="20"/>
                <w:szCs w:val="20"/>
                <w:color w:val="auto"/>
              </w:rPr>
            </w:pPr>
            <w:r>
              <w:rPr>
                <w:rFonts w:ascii="Times New Roman" w:cs="Times New Roman" w:eastAsia="Times New Roman" w:hAnsi="Times New Roman"/>
                <w:sz w:val="13"/>
                <w:szCs w:val="13"/>
                <w:b w:val="1"/>
                <w:bCs w:val="1"/>
                <w:color w:val="auto"/>
              </w:rPr>
              <w:t>L</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FE</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AFR</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SFE</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CG</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ISP</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RM</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w:t>
            </w:r>
          </w:p>
        </w:tc>
      </w:tr>
      <w:tr>
        <w:trPr>
          <w:trHeight w:val="230"/>
        </w:trPr>
        <w:tc>
          <w:tcPr>
            <w:tcW w:w="256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3"/>
                <w:szCs w:val="13"/>
                <w:color w:val="auto"/>
              </w:rPr>
              <w:t>Jeffrey A. Cerny</w:t>
            </w:r>
          </w:p>
        </w:tc>
        <w:tc>
          <w:tcPr>
            <w:tcW w:w="1780" w:type="dxa"/>
            <w:vAlign w:val="bottom"/>
            <w:tcBorders>
              <w:bottom w:val="single" w:sz="8" w:color="CCECFF"/>
            </w:tcBorders>
            <w:shd w:val="clear" w:color="auto" w:fill="CCECFF"/>
          </w:tcPr>
          <w:p>
            <w:pPr>
              <w:jc w:val="center"/>
              <w:ind w:left="1013"/>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7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7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7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CFF"/>
            </w:tcBorders>
            <w:shd w:val="clear" w:color="auto" w:fill="CCECFF"/>
          </w:tcPr>
          <w:p>
            <w:pPr>
              <w:spacing w:after="0"/>
              <w:rPr>
                <w:sz w:val="20"/>
                <w:szCs w:val="20"/>
                <w:color w:val="auto"/>
              </w:rPr>
            </w:pPr>
          </w:p>
        </w:tc>
      </w:tr>
      <w:tr>
        <w:trPr>
          <w:trHeight w:val="215"/>
        </w:trPr>
        <w:tc>
          <w:tcPr>
            <w:tcW w:w="2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Kate M. Fitta</w:t>
            </w:r>
          </w:p>
        </w:tc>
        <w:tc>
          <w:tcPr>
            <w:tcW w:w="1780" w:type="dxa"/>
            <w:vAlign w:val="bottom"/>
          </w:tcPr>
          <w:p>
            <w:pPr>
              <w:jc w:val="center"/>
              <w:ind w:left="1013"/>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41"/>
        </w:trPr>
        <w:tc>
          <w:tcPr>
            <w:tcW w:w="25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36"/>
        </w:trPr>
        <w:tc>
          <w:tcPr>
            <w:tcW w:w="256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3"/>
                <w:szCs w:val="13"/>
                <w:color w:val="auto"/>
              </w:rPr>
              <w:t>Kathleen M. Griggs</w:t>
            </w:r>
          </w:p>
        </w:tc>
        <w:tc>
          <w:tcPr>
            <w:tcW w:w="1780" w:type="dxa"/>
            <w:vAlign w:val="bottom"/>
            <w:tcBorders>
              <w:bottom w:val="single" w:sz="8" w:color="CCECFF"/>
            </w:tcBorders>
            <w:shd w:val="clear" w:color="auto" w:fill="CCECFF"/>
          </w:tcPr>
          <w:p>
            <w:pPr>
              <w:jc w:val="center"/>
              <w:ind w:left="1013"/>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760" w:type="dxa"/>
            <w:vAlign w:val="bottom"/>
            <w:tcBorders>
              <w:bottom w:val="single" w:sz="8" w:color="CCECFF"/>
            </w:tcBorders>
            <w:shd w:val="clear" w:color="auto" w:fill="CCECFF"/>
          </w:tcPr>
          <w:p>
            <w:pPr>
              <w:spacing w:after="0"/>
              <w:rPr>
                <w:sz w:val="20"/>
                <w:szCs w:val="20"/>
                <w:color w:val="auto"/>
              </w:rPr>
            </w:pPr>
          </w:p>
        </w:tc>
        <w:tc>
          <w:tcPr>
            <w:tcW w:w="7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7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216"/>
        </w:trPr>
        <w:tc>
          <w:tcPr>
            <w:tcW w:w="2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Bilal Rashid</w:t>
            </w:r>
          </w:p>
        </w:tc>
        <w:tc>
          <w:tcPr>
            <w:tcW w:w="1780" w:type="dxa"/>
            <w:vAlign w:val="bottom"/>
          </w:tcPr>
          <w:p>
            <w:pPr>
              <w:jc w:val="center"/>
              <w:ind w:left="1013"/>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41"/>
        </w:trPr>
        <w:tc>
          <w:tcPr>
            <w:tcW w:w="25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16"/>
        </w:trPr>
        <w:tc>
          <w:tcPr>
            <w:tcW w:w="256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3"/>
                <w:szCs w:val="13"/>
                <w:color w:val="auto"/>
              </w:rPr>
              <w:t>Romita Shetty</w:t>
            </w:r>
          </w:p>
        </w:tc>
        <w:tc>
          <w:tcPr>
            <w:tcW w:w="1780" w:type="dxa"/>
            <w:vAlign w:val="bottom"/>
            <w:shd w:val="clear" w:color="auto" w:fill="CCECFF"/>
          </w:tcPr>
          <w:p>
            <w:pPr>
              <w:jc w:val="center"/>
              <w:ind w:left="1013"/>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820" w:type="dxa"/>
            <w:vAlign w:val="bottom"/>
            <w:shd w:val="clear" w:color="auto" w:fill="CCECFF"/>
          </w:tcPr>
          <w:p>
            <w:pPr>
              <w:spacing w:after="0"/>
              <w:rPr>
                <w:sz w:val="18"/>
                <w:szCs w:val="18"/>
                <w:color w:val="auto"/>
              </w:rPr>
            </w:pP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86"/>
              </w:rPr>
              <w:t>•</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41"/>
        </w:trPr>
        <w:tc>
          <w:tcPr>
            <w:tcW w:w="2560" w:type="dxa"/>
            <w:vAlign w:val="bottom"/>
            <w:shd w:val="clear" w:color="auto" w:fill="CCECFF"/>
          </w:tcPr>
          <w:p>
            <w:pPr>
              <w:spacing w:after="0"/>
              <w:rPr>
                <w:sz w:val="3"/>
                <w:szCs w:val="3"/>
                <w:color w:val="auto"/>
              </w:rPr>
            </w:pPr>
          </w:p>
        </w:tc>
        <w:tc>
          <w:tcPr>
            <w:tcW w:w="1780" w:type="dxa"/>
            <w:vAlign w:val="bottom"/>
            <w:shd w:val="clear" w:color="auto" w:fill="CCECFF"/>
          </w:tcPr>
          <w:p>
            <w:pPr>
              <w:spacing w:after="0"/>
              <w:rPr>
                <w:sz w:val="3"/>
                <w:szCs w:val="3"/>
                <w:color w:val="auto"/>
              </w:rPr>
            </w:pPr>
          </w:p>
        </w:tc>
        <w:tc>
          <w:tcPr>
            <w:tcW w:w="740" w:type="dxa"/>
            <w:vAlign w:val="bottom"/>
            <w:shd w:val="clear" w:color="auto" w:fill="CCECFF"/>
          </w:tcPr>
          <w:p>
            <w:pPr>
              <w:spacing w:after="0"/>
              <w:rPr>
                <w:sz w:val="3"/>
                <w:szCs w:val="3"/>
                <w:color w:val="auto"/>
              </w:rPr>
            </w:pPr>
          </w:p>
        </w:tc>
        <w:tc>
          <w:tcPr>
            <w:tcW w:w="820" w:type="dxa"/>
            <w:vAlign w:val="bottom"/>
            <w:shd w:val="clear" w:color="auto" w:fill="CCECFF"/>
          </w:tcPr>
          <w:p>
            <w:pPr>
              <w:spacing w:after="0"/>
              <w:rPr>
                <w:sz w:val="3"/>
                <w:szCs w:val="3"/>
                <w:color w:val="auto"/>
              </w:rPr>
            </w:pPr>
          </w:p>
        </w:tc>
        <w:tc>
          <w:tcPr>
            <w:tcW w:w="760" w:type="dxa"/>
            <w:vAlign w:val="bottom"/>
            <w:shd w:val="clear" w:color="auto" w:fill="CCECFF"/>
          </w:tcPr>
          <w:p>
            <w:pPr>
              <w:spacing w:after="0"/>
              <w:rPr>
                <w:sz w:val="3"/>
                <w:szCs w:val="3"/>
                <w:color w:val="auto"/>
              </w:rPr>
            </w:pPr>
          </w:p>
        </w:tc>
        <w:tc>
          <w:tcPr>
            <w:tcW w:w="740" w:type="dxa"/>
            <w:vAlign w:val="bottom"/>
            <w:shd w:val="clear" w:color="auto" w:fill="CCECFF"/>
          </w:tcPr>
          <w:p>
            <w:pPr>
              <w:spacing w:after="0"/>
              <w:rPr>
                <w:sz w:val="3"/>
                <w:szCs w:val="3"/>
                <w:color w:val="auto"/>
              </w:rPr>
            </w:pPr>
          </w:p>
        </w:tc>
        <w:tc>
          <w:tcPr>
            <w:tcW w:w="740" w:type="dxa"/>
            <w:vAlign w:val="bottom"/>
            <w:shd w:val="clear" w:color="auto" w:fill="CCECFF"/>
          </w:tcPr>
          <w:p>
            <w:pPr>
              <w:spacing w:after="0"/>
              <w:rPr>
                <w:sz w:val="3"/>
                <w:szCs w:val="3"/>
                <w:color w:val="auto"/>
              </w:rPr>
            </w:pPr>
          </w:p>
        </w:tc>
        <w:tc>
          <w:tcPr>
            <w:tcW w:w="720" w:type="dxa"/>
            <w:vAlign w:val="bottom"/>
            <w:shd w:val="clear" w:color="auto" w:fill="CCECFF"/>
          </w:tcPr>
          <w:p>
            <w:pPr>
              <w:spacing w:after="0"/>
              <w:rPr>
                <w:sz w:val="3"/>
                <w:szCs w:val="3"/>
                <w:color w:val="auto"/>
              </w:rPr>
            </w:pPr>
          </w:p>
        </w:tc>
        <w:tc>
          <w:tcPr>
            <w:tcW w:w="560" w:type="dxa"/>
            <w:vAlign w:val="bottom"/>
            <w:shd w:val="clear" w:color="auto" w:fill="CCECFF"/>
          </w:tcPr>
          <w:p>
            <w:pPr>
              <w:spacing w:after="0"/>
              <w:rPr>
                <w:sz w:val="3"/>
                <w:szCs w:val="3"/>
                <w:color w:val="auto"/>
              </w:rPr>
            </w:pPr>
          </w:p>
        </w:tc>
      </w:tr>
    </w:tbl>
    <w:p>
      <w:pPr>
        <w:spacing w:after="0" w:line="30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While Nasdaq-listed companies are no longer required to disclose board diversity data, companies may choose to provide such information as part of their commitment to transparency and diversity initiatives. Our board of directors does not have a specific diversity policy but considers a number of factors in evaluating candidates for board membership including, but not limited to: (i) personal and professional integrity, ethics and values; (ii) diversity of expertise and experience in substantive matters pertaining to the Company’s business; and (iii) diversity of background and perspective. We believe that a board composed of highly qualified individuals from diverse backgrounds promotes better corporate governance, performance and effective decision-making process. The table below provides certain highlights of the composition of our board members and nominees.</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Board Diversity Matrix (as of June 18, 2026)</w:t>
      </w:r>
    </w:p>
    <w:p>
      <w:pPr>
        <w:spacing w:after="0" w:line="1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b w:val="1"/>
          <w:bCs w:val="1"/>
          <w:color w:val="auto"/>
        </w:rPr>
        <w:t>Total Number of Directors: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left="333"/>
              <w:spacing w:after="0"/>
              <w:rPr>
                <w:sz w:val="20"/>
                <w:szCs w:val="20"/>
                <w:color w:val="auto"/>
              </w:rPr>
            </w:pPr>
            <w:r>
              <w:rPr>
                <w:rFonts w:ascii="Times New Roman" w:cs="Times New Roman" w:eastAsia="Times New Roman" w:hAnsi="Times New Roman"/>
                <w:sz w:val="13"/>
                <w:szCs w:val="13"/>
                <w:b w:val="1"/>
                <w:bCs w:val="1"/>
                <w:color w:val="auto"/>
              </w:rPr>
              <w:t>Female</w:t>
            </w:r>
          </w:p>
        </w:tc>
        <w:tc>
          <w:tcPr>
            <w:tcW w:w="13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w w:val="99"/>
              </w:rPr>
              <w:t>Male</w:t>
            </w:r>
          </w:p>
        </w:tc>
        <w:tc>
          <w:tcPr>
            <w:tcW w:w="20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3"/>
                <w:szCs w:val="13"/>
                <w:b w:val="1"/>
                <w:bCs w:val="1"/>
                <w:color w:val="auto"/>
              </w:rPr>
              <w:t>Non-binary</w:t>
            </w:r>
          </w:p>
        </w:tc>
        <w:tc>
          <w:tcPr>
            <w:tcW w:w="28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3"/>
                <w:szCs w:val="13"/>
                <w:b w:val="1"/>
                <w:bCs w:val="1"/>
                <w:color w:val="auto"/>
              </w:rPr>
              <w:t>Did not disclose gender</w:t>
            </w:r>
          </w:p>
        </w:tc>
      </w:tr>
      <w:tr>
        <w:trPr>
          <w:trHeight w:val="230"/>
        </w:trPr>
        <w:tc>
          <w:tcPr>
            <w:tcW w:w="3340" w:type="dxa"/>
            <w:vAlign w:val="bottom"/>
            <w:tcBorders>
              <w:bottom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3"/>
                <w:szCs w:val="13"/>
                <w:b w:val="1"/>
                <w:bCs w:val="1"/>
                <w:color w:val="auto"/>
              </w:rPr>
              <w:t>Part I: Gender Identity</w:t>
            </w:r>
          </w:p>
        </w:tc>
        <w:tc>
          <w:tcPr>
            <w:tcW w:w="1620" w:type="dxa"/>
            <w:vAlign w:val="bottom"/>
            <w:tcBorders>
              <w:bottom w:val="single" w:sz="8" w:color="CCECFF"/>
            </w:tcBorders>
            <w:shd w:val="clear" w:color="auto" w:fill="CCECFF"/>
          </w:tcPr>
          <w:p>
            <w:pPr>
              <w:spacing w:after="0"/>
              <w:rPr>
                <w:sz w:val="20"/>
                <w:szCs w:val="20"/>
                <w:color w:val="auto"/>
              </w:rPr>
            </w:pPr>
          </w:p>
        </w:tc>
        <w:tc>
          <w:tcPr>
            <w:tcW w:w="1340" w:type="dxa"/>
            <w:vAlign w:val="bottom"/>
            <w:tcBorders>
              <w:bottom w:val="single" w:sz="8" w:color="CCECFF"/>
            </w:tcBorders>
            <w:shd w:val="clear" w:color="auto" w:fill="CCECFF"/>
          </w:tcPr>
          <w:p>
            <w:pPr>
              <w:spacing w:after="0"/>
              <w:rPr>
                <w:sz w:val="20"/>
                <w:szCs w:val="20"/>
                <w:color w:val="auto"/>
              </w:rPr>
            </w:pPr>
          </w:p>
        </w:tc>
        <w:tc>
          <w:tcPr>
            <w:tcW w:w="2060" w:type="dxa"/>
            <w:vAlign w:val="bottom"/>
            <w:tcBorders>
              <w:bottom w:val="single" w:sz="8" w:color="CCECFF"/>
            </w:tcBorders>
            <w:shd w:val="clear" w:color="auto" w:fill="CCECFF"/>
          </w:tcPr>
          <w:p>
            <w:pPr>
              <w:spacing w:after="0"/>
              <w:rPr>
                <w:sz w:val="20"/>
                <w:szCs w:val="20"/>
                <w:color w:val="auto"/>
              </w:rPr>
            </w:pPr>
          </w:p>
        </w:tc>
        <w:tc>
          <w:tcPr>
            <w:tcW w:w="2880" w:type="dxa"/>
            <w:vAlign w:val="bottom"/>
            <w:tcBorders>
              <w:bottom w:val="single" w:sz="8" w:color="CCECFF"/>
            </w:tcBorders>
            <w:shd w:val="clear" w:color="auto" w:fill="CCECFF"/>
          </w:tcPr>
          <w:p>
            <w:pPr>
              <w:spacing w:after="0"/>
              <w:rPr>
                <w:sz w:val="20"/>
                <w:szCs w:val="20"/>
                <w:color w:val="auto"/>
              </w:rPr>
            </w:pPr>
          </w:p>
        </w:tc>
      </w:tr>
      <w:tr>
        <w:trPr>
          <w:trHeight w:val="215"/>
        </w:trPr>
        <w:tc>
          <w:tcPr>
            <w:tcW w:w="33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Directors</w:t>
            </w:r>
          </w:p>
        </w:tc>
        <w:tc>
          <w:tcPr>
            <w:tcW w:w="1620" w:type="dxa"/>
            <w:vAlign w:val="bottom"/>
          </w:tcPr>
          <w:p>
            <w:pPr>
              <w:jc w:val="center"/>
              <w:ind w:left="313"/>
              <w:spacing w:after="0"/>
              <w:rPr>
                <w:sz w:val="20"/>
                <w:szCs w:val="20"/>
                <w:color w:val="auto"/>
              </w:rPr>
            </w:pPr>
            <w:r>
              <w:rPr>
                <w:rFonts w:ascii="Times New Roman" w:cs="Times New Roman" w:eastAsia="Times New Roman" w:hAnsi="Times New Roman"/>
                <w:sz w:val="13"/>
                <w:szCs w:val="13"/>
                <w:color w:val="auto"/>
              </w:rPr>
              <w:t>3</w:t>
            </w:r>
          </w:p>
        </w:tc>
        <w:tc>
          <w:tcPr>
            <w:tcW w:w="1340" w:type="dxa"/>
            <w:vAlign w:val="bottom"/>
          </w:tcPr>
          <w:p>
            <w:pPr>
              <w:jc w:val="center"/>
              <w:ind w:right="153"/>
              <w:spacing w:after="0"/>
              <w:rPr>
                <w:sz w:val="20"/>
                <w:szCs w:val="20"/>
                <w:color w:val="auto"/>
              </w:rPr>
            </w:pPr>
            <w:r>
              <w:rPr>
                <w:rFonts w:ascii="Times New Roman" w:cs="Times New Roman" w:eastAsia="Times New Roman" w:hAnsi="Times New Roman"/>
                <w:sz w:val="13"/>
                <w:szCs w:val="13"/>
                <w:color w:val="auto"/>
              </w:rPr>
              <w:t>2</w:t>
            </w:r>
          </w:p>
        </w:tc>
        <w:tc>
          <w:tcPr>
            <w:tcW w:w="206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41"/>
        </w:trPr>
        <w:tc>
          <w:tcPr>
            <w:tcW w:w="33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880" w:type="dxa"/>
            <w:vAlign w:val="bottom"/>
          </w:tcPr>
          <w:p>
            <w:pPr>
              <w:spacing w:after="0"/>
              <w:rPr>
                <w:sz w:val="3"/>
                <w:szCs w:val="3"/>
                <w:color w:val="auto"/>
              </w:rPr>
            </w:pPr>
          </w:p>
        </w:tc>
      </w:tr>
      <w:tr>
        <w:trPr>
          <w:trHeight w:val="236"/>
        </w:trPr>
        <w:tc>
          <w:tcPr>
            <w:tcW w:w="3340" w:type="dxa"/>
            <w:vAlign w:val="bottom"/>
            <w:tcBorders>
              <w:bottom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3"/>
                <w:szCs w:val="13"/>
                <w:b w:val="1"/>
                <w:bCs w:val="1"/>
                <w:color w:val="auto"/>
              </w:rPr>
              <w:t>Part II: Demographic Background</w:t>
            </w:r>
          </w:p>
        </w:tc>
        <w:tc>
          <w:tcPr>
            <w:tcW w:w="1620" w:type="dxa"/>
            <w:vAlign w:val="bottom"/>
            <w:tcBorders>
              <w:bottom w:val="single" w:sz="8" w:color="CCECFF"/>
            </w:tcBorders>
            <w:shd w:val="clear" w:color="auto" w:fill="CCECFF"/>
          </w:tcPr>
          <w:p>
            <w:pPr>
              <w:spacing w:after="0"/>
              <w:rPr>
                <w:sz w:val="20"/>
                <w:szCs w:val="20"/>
                <w:color w:val="auto"/>
              </w:rPr>
            </w:pPr>
          </w:p>
        </w:tc>
        <w:tc>
          <w:tcPr>
            <w:tcW w:w="1340" w:type="dxa"/>
            <w:vAlign w:val="bottom"/>
            <w:tcBorders>
              <w:bottom w:val="single" w:sz="8" w:color="CCECFF"/>
            </w:tcBorders>
            <w:shd w:val="clear" w:color="auto" w:fill="CCECFF"/>
          </w:tcPr>
          <w:p>
            <w:pPr>
              <w:spacing w:after="0"/>
              <w:rPr>
                <w:sz w:val="20"/>
                <w:szCs w:val="20"/>
                <w:color w:val="auto"/>
              </w:rPr>
            </w:pPr>
          </w:p>
        </w:tc>
        <w:tc>
          <w:tcPr>
            <w:tcW w:w="2060" w:type="dxa"/>
            <w:vAlign w:val="bottom"/>
            <w:tcBorders>
              <w:bottom w:val="single" w:sz="8" w:color="CCECFF"/>
            </w:tcBorders>
            <w:shd w:val="clear" w:color="auto" w:fill="CCECFF"/>
          </w:tcPr>
          <w:p>
            <w:pPr>
              <w:spacing w:after="0"/>
              <w:rPr>
                <w:sz w:val="20"/>
                <w:szCs w:val="20"/>
                <w:color w:val="auto"/>
              </w:rPr>
            </w:pPr>
          </w:p>
        </w:tc>
        <w:tc>
          <w:tcPr>
            <w:tcW w:w="2880" w:type="dxa"/>
            <w:vAlign w:val="bottom"/>
            <w:tcBorders>
              <w:bottom w:val="single" w:sz="8" w:color="CCECFF"/>
            </w:tcBorders>
            <w:shd w:val="clear" w:color="auto" w:fill="CCECFF"/>
          </w:tcPr>
          <w:p>
            <w:pPr>
              <w:spacing w:after="0"/>
              <w:rPr>
                <w:sz w:val="20"/>
                <w:szCs w:val="20"/>
                <w:color w:val="auto"/>
              </w:rPr>
            </w:pPr>
          </w:p>
        </w:tc>
      </w:tr>
      <w:tr>
        <w:trPr>
          <w:trHeight w:val="215"/>
        </w:trPr>
        <w:tc>
          <w:tcPr>
            <w:tcW w:w="33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African American or Black</w:t>
            </w:r>
          </w:p>
        </w:tc>
        <w:tc>
          <w:tcPr>
            <w:tcW w:w="1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41"/>
        </w:trPr>
        <w:tc>
          <w:tcPr>
            <w:tcW w:w="33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880" w:type="dxa"/>
            <w:vAlign w:val="bottom"/>
          </w:tcPr>
          <w:p>
            <w:pPr>
              <w:spacing w:after="0"/>
              <w:rPr>
                <w:sz w:val="3"/>
                <w:szCs w:val="3"/>
                <w:color w:val="auto"/>
              </w:rPr>
            </w:pPr>
          </w:p>
        </w:tc>
      </w:tr>
      <w:tr>
        <w:trPr>
          <w:trHeight w:val="236"/>
        </w:trPr>
        <w:tc>
          <w:tcPr>
            <w:tcW w:w="3340" w:type="dxa"/>
            <w:vAlign w:val="bottom"/>
            <w:tcBorders>
              <w:bottom w:val="single" w:sz="8" w:color="CCECFF"/>
            </w:tcBorders>
            <w:shd w:val="clear" w:color="auto" w:fill="CCECFF"/>
          </w:tcPr>
          <w:p>
            <w:pPr>
              <w:ind w:left="160"/>
              <w:spacing w:after="0"/>
              <w:rPr>
                <w:sz w:val="20"/>
                <w:szCs w:val="20"/>
                <w:color w:val="auto"/>
              </w:rPr>
            </w:pPr>
            <w:r>
              <w:rPr>
                <w:rFonts w:ascii="Times New Roman" w:cs="Times New Roman" w:eastAsia="Times New Roman" w:hAnsi="Times New Roman"/>
                <w:sz w:val="13"/>
                <w:szCs w:val="13"/>
                <w:color w:val="auto"/>
              </w:rPr>
              <w:t>Alaskan Native or Native American</w:t>
            </w:r>
          </w:p>
        </w:tc>
        <w:tc>
          <w:tcPr>
            <w:tcW w:w="1620" w:type="dxa"/>
            <w:vAlign w:val="bottom"/>
            <w:tcBorders>
              <w:bottom w:val="single" w:sz="8" w:color="CCECFF"/>
            </w:tcBorders>
            <w:shd w:val="clear" w:color="auto" w:fill="CCECFF"/>
          </w:tcPr>
          <w:p>
            <w:pPr>
              <w:spacing w:after="0"/>
              <w:rPr>
                <w:sz w:val="20"/>
                <w:szCs w:val="20"/>
                <w:color w:val="auto"/>
              </w:rPr>
            </w:pPr>
          </w:p>
        </w:tc>
        <w:tc>
          <w:tcPr>
            <w:tcW w:w="1340" w:type="dxa"/>
            <w:vAlign w:val="bottom"/>
            <w:tcBorders>
              <w:bottom w:val="single" w:sz="8" w:color="CCECFF"/>
            </w:tcBorders>
            <w:shd w:val="clear" w:color="auto" w:fill="CCECFF"/>
          </w:tcPr>
          <w:p>
            <w:pPr>
              <w:spacing w:after="0"/>
              <w:rPr>
                <w:sz w:val="20"/>
                <w:szCs w:val="20"/>
                <w:color w:val="auto"/>
              </w:rPr>
            </w:pPr>
          </w:p>
        </w:tc>
        <w:tc>
          <w:tcPr>
            <w:tcW w:w="2060" w:type="dxa"/>
            <w:vAlign w:val="bottom"/>
            <w:tcBorders>
              <w:bottom w:val="single" w:sz="8" w:color="CCECFF"/>
            </w:tcBorders>
            <w:shd w:val="clear" w:color="auto" w:fill="CCECFF"/>
          </w:tcPr>
          <w:p>
            <w:pPr>
              <w:spacing w:after="0"/>
              <w:rPr>
                <w:sz w:val="20"/>
                <w:szCs w:val="20"/>
                <w:color w:val="auto"/>
              </w:rPr>
            </w:pPr>
          </w:p>
        </w:tc>
        <w:tc>
          <w:tcPr>
            <w:tcW w:w="2880" w:type="dxa"/>
            <w:vAlign w:val="bottom"/>
            <w:tcBorders>
              <w:bottom w:val="single" w:sz="8" w:color="CCECFF"/>
            </w:tcBorders>
            <w:shd w:val="clear" w:color="auto" w:fill="CCECFF"/>
          </w:tcPr>
          <w:p>
            <w:pPr>
              <w:spacing w:after="0"/>
              <w:rPr>
                <w:sz w:val="20"/>
                <w:szCs w:val="20"/>
                <w:color w:val="auto"/>
              </w:rPr>
            </w:pPr>
          </w:p>
        </w:tc>
      </w:tr>
      <w:tr>
        <w:trPr>
          <w:trHeight w:val="216"/>
        </w:trPr>
        <w:tc>
          <w:tcPr>
            <w:tcW w:w="33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Asian</w:t>
            </w:r>
          </w:p>
        </w:tc>
        <w:tc>
          <w:tcPr>
            <w:tcW w:w="1620" w:type="dxa"/>
            <w:vAlign w:val="bottom"/>
          </w:tcPr>
          <w:p>
            <w:pPr>
              <w:spacing w:after="0"/>
              <w:rPr>
                <w:sz w:val="18"/>
                <w:szCs w:val="18"/>
                <w:color w:val="auto"/>
              </w:rPr>
            </w:pPr>
          </w:p>
        </w:tc>
        <w:tc>
          <w:tcPr>
            <w:tcW w:w="1340" w:type="dxa"/>
            <w:vAlign w:val="bottom"/>
          </w:tcPr>
          <w:p>
            <w:pPr>
              <w:jc w:val="center"/>
              <w:ind w:right="153"/>
              <w:spacing w:after="0"/>
              <w:rPr>
                <w:sz w:val="20"/>
                <w:szCs w:val="20"/>
                <w:color w:val="auto"/>
              </w:rPr>
            </w:pPr>
            <w:r>
              <w:rPr>
                <w:rFonts w:ascii="Times New Roman" w:cs="Times New Roman" w:eastAsia="Times New Roman" w:hAnsi="Times New Roman"/>
                <w:sz w:val="13"/>
                <w:szCs w:val="13"/>
                <w:color w:val="auto"/>
              </w:rPr>
              <w:t>1</w:t>
            </w:r>
          </w:p>
        </w:tc>
        <w:tc>
          <w:tcPr>
            <w:tcW w:w="206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41"/>
        </w:trPr>
        <w:tc>
          <w:tcPr>
            <w:tcW w:w="33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880" w:type="dxa"/>
            <w:vAlign w:val="bottom"/>
          </w:tcPr>
          <w:p>
            <w:pPr>
              <w:spacing w:after="0"/>
              <w:rPr>
                <w:sz w:val="3"/>
                <w:szCs w:val="3"/>
                <w:color w:val="auto"/>
              </w:rPr>
            </w:pPr>
          </w:p>
        </w:tc>
      </w:tr>
      <w:tr>
        <w:trPr>
          <w:trHeight w:val="237"/>
        </w:trPr>
        <w:tc>
          <w:tcPr>
            <w:tcW w:w="3340" w:type="dxa"/>
            <w:vAlign w:val="bottom"/>
            <w:tcBorders>
              <w:bottom w:val="single" w:sz="8" w:color="CCECFF"/>
            </w:tcBorders>
            <w:shd w:val="clear" w:color="auto" w:fill="CCECFF"/>
          </w:tcPr>
          <w:p>
            <w:pPr>
              <w:ind w:left="160"/>
              <w:spacing w:after="0"/>
              <w:rPr>
                <w:sz w:val="20"/>
                <w:szCs w:val="20"/>
                <w:color w:val="auto"/>
              </w:rPr>
            </w:pPr>
            <w:r>
              <w:rPr>
                <w:rFonts w:ascii="Times New Roman" w:cs="Times New Roman" w:eastAsia="Times New Roman" w:hAnsi="Times New Roman"/>
                <w:sz w:val="13"/>
                <w:szCs w:val="13"/>
                <w:color w:val="auto"/>
              </w:rPr>
              <w:t>Hispanic or Latinx</w:t>
            </w:r>
          </w:p>
        </w:tc>
        <w:tc>
          <w:tcPr>
            <w:tcW w:w="1620" w:type="dxa"/>
            <w:vAlign w:val="bottom"/>
            <w:tcBorders>
              <w:bottom w:val="single" w:sz="8" w:color="CCECFF"/>
            </w:tcBorders>
            <w:shd w:val="clear" w:color="auto" w:fill="CCECFF"/>
          </w:tcPr>
          <w:p>
            <w:pPr>
              <w:spacing w:after="0"/>
              <w:rPr>
                <w:sz w:val="20"/>
                <w:szCs w:val="20"/>
                <w:color w:val="auto"/>
              </w:rPr>
            </w:pPr>
          </w:p>
        </w:tc>
        <w:tc>
          <w:tcPr>
            <w:tcW w:w="1340" w:type="dxa"/>
            <w:vAlign w:val="bottom"/>
            <w:tcBorders>
              <w:bottom w:val="single" w:sz="8" w:color="CCECFF"/>
            </w:tcBorders>
            <w:shd w:val="clear" w:color="auto" w:fill="CCECFF"/>
          </w:tcPr>
          <w:p>
            <w:pPr>
              <w:spacing w:after="0"/>
              <w:rPr>
                <w:sz w:val="20"/>
                <w:szCs w:val="20"/>
                <w:color w:val="auto"/>
              </w:rPr>
            </w:pPr>
          </w:p>
        </w:tc>
        <w:tc>
          <w:tcPr>
            <w:tcW w:w="2060" w:type="dxa"/>
            <w:vAlign w:val="bottom"/>
            <w:tcBorders>
              <w:bottom w:val="single" w:sz="8" w:color="CCECFF"/>
            </w:tcBorders>
            <w:shd w:val="clear" w:color="auto" w:fill="CCECFF"/>
          </w:tcPr>
          <w:p>
            <w:pPr>
              <w:spacing w:after="0"/>
              <w:rPr>
                <w:sz w:val="20"/>
                <w:szCs w:val="20"/>
                <w:color w:val="auto"/>
              </w:rPr>
            </w:pPr>
          </w:p>
        </w:tc>
        <w:tc>
          <w:tcPr>
            <w:tcW w:w="2880" w:type="dxa"/>
            <w:vAlign w:val="bottom"/>
            <w:tcBorders>
              <w:bottom w:val="single" w:sz="8" w:color="CCECFF"/>
            </w:tcBorders>
            <w:shd w:val="clear" w:color="auto" w:fill="CCECFF"/>
          </w:tcPr>
          <w:p>
            <w:pPr>
              <w:spacing w:after="0"/>
              <w:rPr>
                <w:sz w:val="20"/>
                <w:szCs w:val="20"/>
                <w:color w:val="auto"/>
              </w:rPr>
            </w:pPr>
          </w:p>
        </w:tc>
      </w:tr>
      <w:tr>
        <w:trPr>
          <w:trHeight w:val="215"/>
        </w:trPr>
        <w:tc>
          <w:tcPr>
            <w:tcW w:w="33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Native Hawaiian or Pacific Islander</w:t>
            </w:r>
          </w:p>
        </w:tc>
        <w:tc>
          <w:tcPr>
            <w:tcW w:w="1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41"/>
        </w:trPr>
        <w:tc>
          <w:tcPr>
            <w:tcW w:w="33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880" w:type="dxa"/>
            <w:vAlign w:val="bottom"/>
          </w:tcPr>
          <w:p>
            <w:pPr>
              <w:spacing w:after="0"/>
              <w:rPr>
                <w:sz w:val="3"/>
                <w:szCs w:val="3"/>
                <w:color w:val="auto"/>
              </w:rPr>
            </w:pPr>
          </w:p>
        </w:tc>
      </w:tr>
      <w:tr>
        <w:trPr>
          <w:trHeight w:val="237"/>
        </w:trPr>
        <w:tc>
          <w:tcPr>
            <w:tcW w:w="3340" w:type="dxa"/>
            <w:vAlign w:val="bottom"/>
            <w:tcBorders>
              <w:bottom w:val="single" w:sz="8" w:color="CCECFF"/>
            </w:tcBorders>
            <w:shd w:val="clear" w:color="auto" w:fill="CCECFF"/>
          </w:tcPr>
          <w:p>
            <w:pPr>
              <w:ind w:left="160"/>
              <w:spacing w:after="0"/>
              <w:rPr>
                <w:sz w:val="20"/>
                <w:szCs w:val="20"/>
                <w:color w:val="auto"/>
              </w:rPr>
            </w:pPr>
            <w:r>
              <w:rPr>
                <w:rFonts w:ascii="Times New Roman" w:cs="Times New Roman" w:eastAsia="Times New Roman" w:hAnsi="Times New Roman"/>
                <w:sz w:val="13"/>
                <w:szCs w:val="13"/>
                <w:color w:val="auto"/>
              </w:rPr>
              <w:t>White</w:t>
            </w:r>
          </w:p>
        </w:tc>
        <w:tc>
          <w:tcPr>
            <w:tcW w:w="1620" w:type="dxa"/>
            <w:vAlign w:val="bottom"/>
            <w:tcBorders>
              <w:bottom w:val="single" w:sz="8" w:color="CCECFF"/>
            </w:tcBorders>
            <w:shd w:val="clear" w:color="auto" w:fill="CCECFF"/>
          </w:tcPr>
          <w:p>
            <w:pPr>
              <w:jc w:val="center"/>
              <w:ind w:left="313"/>
              <w:spacing w:after="0"/>
              <w:rPr>
                <w:sz w:val="20"/>
                <w:szCs w:val="20"/>
                <w:color w:val="auto"/>
              </w:rPr>
            </w:pPr>
            <w:r>
              <w:rPr>
                <w:rFonts w:ascii="Times New Roman" w:cs="Times New Roman" w:eastAsia="Times New Roman" w:hAnsi="Times New Roman"/>
                <w:sz w:val="13"/>
                <w:szCs w:val="13"/>
                <w:color w:val="auto"/>
              </w:rPr>
              <w:t>2</w:t>
            </w:r>
          </w:p>
        </w:tc>
        <w:tc>
          <w:tcPr>
            <w:tcW w:w="1340" w:type="dxa"/>
            <w:vAlign w:val="bottom"/>
            <w:tcBorders>
              <w:bottom w:val="single" w:sz="8" w:color="CCECFF"/>
            </w:tcBorders>
            <w:shd w:val="clear" w:color="auto" w:fill="CCECFF"/>
          </w:tcPr>
          <w:p>
            <w:pPr>
              <w:jc w:val="center"/>
              <w:ind w:right="153"/>
              <w:spacing w:after="0"/>
              <w:rPr>
                <w:sz w:val="20"/>
                <w:szCs w:val="20"/>
                <w:color w:val="auto"/>
              </w:rPr>
            </w:pPr>
            <w:r>
              <w:rPr>
                <w:rFonts w:ascii="Times New Roman" w:cs="Times New Roman" w:eastAsia="Times New Roman" w:hAnsi="Times New Roman"/>
                <w:sz w:val="13"/>
                <w:szCs w:val="13"/>
                <w:color w:val="auto"/>
              </w:rPr>
              <w:t>1</w:t>
            </w:r>
          </w:p>
        </w:tc>
        <w:tc>
          <w:tcPr>
            <w:tcW w:w="2060" w:type="dxa"/>
            <w:vAlign w:val="bottom"/>
            <w:tcBorders>
              <w:bottom w:val="single" w:sz="8" w:color="CCECFF"/>
            </w:tcBorders>
            <w:shd w:val="clear" w:color="auto" w:fill="CCECFF"/>
          </w:tcPr>
          <w:p>
            <w:pPr>
              <w:spacing w:after="0"/>
              <w:rPr>
                <w:sz w:val="20"/>
                <w:szCs w:val="20"/>
                <w:color w:val="auto"/>
              </w:rPr>
            </w:pPr>
          </w:p>
        </w:tc>
        <w:tc>
          <w:tcPr>
            <w:tcW w:w="2880" w:type="dxa"/>
            <w:vAlign w:val="bottom"/>
            <w:tcBorders>
              <w:bottom w:val="single" w:sz="8" w:color="CCECFF"/>
            </w:tcBorders>
            <w:shd w:val="clear" w:color="auto" w:fill="CCECFF"/>
          </w:tcPr>
          <w:p>
            <w:pPr>
              <w:spacing w:after="0"/>
              <w:rPr>
                <w:sz w:val="20"/>
                <w:szCs w:val="20"/>
                <w:color w:val="auto"/>
              </w:rPr>
            </w:pPr>
          </w:p>
        </w:tc>
      </w:tr>
      <w:tr>
        <w:trPr>
          <w:trHeight w:val="215"/>
        </w:trPr>
        <w:tc>
          <w:tcPr>
            <w:tcW w:w="33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Two or More Races or Ethnicities</w:t>
            </w:r>
          </w:p>
        </w:tc>
        <w:tc>
          <w:tcPr>
            <w:tcW w:w="1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41"/>
        </w:trPr>
        <w:tc>
          <w:tcPr>
            <w:tcW w:w="33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880" w:type="dxa"/>
            <w:vAlign w:val="bottom"/>
          </w:tcPr>
          <w:p>
            <w:pPr>
              <w:spacing w:after="0"/>
              <w:rPr>
                <w:sz w:val="3"/>
                <w:szCs w:val="3"/>
                <w:color w:val="auto"/>
              </w:rPr>
            </w:pPr>
          </w:p>
        </w:tc>
      </w:tr>
      <w:tr>
        <w:trPr>
          <w:trHeight w:val="237"/>
        </w:trPr>
        <w:tc>
          <w:tcPr>
            <w:tcW w:w="3340" w:type="dxa"/>
            <w:vAlign w:val="bottom"/>
            <w:tcBorders>
              <w:bottom w:val="single" w:sz="8" w:color="CCECFF"/>
            </w:tcBorders>
            <w:shd w:val="clear" w:color="auto" w:fill="CCECFF"/>
          </w:tcPr>
          <w:p>
            <w:pPr>
              <w:ind w:left="160"/>
              <w:spacing w:after="0"/>
              <w:rPr>
                <w:sz w:val="20"/>
                <w:szCs w:val="20"/>
                <w:color w:val="auto"/>
              </w:rPr>
            </w:pPr>
            <w:r>
              <w:rPr>
                <w:rFonts w:ascii="Times New Roman" w:cs="Times New Roman" w:eastAsia="Times New Roman" w:hAnsi="Times New Roman"/>
                <w:sz w:val="13"/>
                <w:szCs w:val="13"/>
                <w:color w:val="auto"/>
              </w:rPr>
              <w:t>LGBTQ+</w:t>
            </w:r>
          </w:p>
        </w:tc>
        <w:tc>
          <w:tcPr>
            <w:tcW w:w="1620" w:type="dxa"/>
            <w:vAlign w:val="bottom"/>
            <w:tcBorders>
              <w:bottom w:val="single" w:sz="8" w:color="CCECFF"/>
            </w:tcBorders>
            <w:shd w:val="clear" w:color="auto" w:fill="CCECFF"/>
          </w:tcPr>
          <w:p>
            <w:pPr>
              <w:jc w:val="center"/>
              <w:ind w:left="313"/>
              <w:spacing w:after="0"/>
              <w:rPr>
                <w:sz w:val="20"/>
                <w:szCs w:val="20"/>
                <w:color w:val="auto"/>
              </w:rPr>
            </w:pPr>
            <w:r>
              <w:rPr>
                <w:rFonts w:ascii="Times New Roman" w:cs="Times New Roman" w:eastAsia="Times New Roman" w:hAnsi="Times New Roman"/>
                <w:sz w:val="13"/>
                <w:szCs w:val="13"/>
                <w:color w:val="auto"/>
              </w:rPr>
              <w:t>1</w:t>
            </w:r>
          </w:p>
        </w:tc>
        <w:tc>
          <w:tcPr>
            <w:tcW w:w="1340" w:type="dxa"/>
            <w:vAlign w:val="bottom"/>
            <w:tcBorders>
              <w:bottom w:val="single" w:sz="8" w:color="CCECFF"/>
            </w:tcBorders>
            <w:shd w:val="clear" w:color="auto" w:fill="CCECFF"/>
          </w:tcPr>
          <w:p>
            <w:pPr>
              <w:spacing w:after="0"/>
              <w:rPr>
                <w:sz w:val="20"/>
                <w:szCs w:val="20"/>
                <w:color w:val="auto"/>
              </w:rPr>
            </w:pPr>
          </w:p>
        </w:tc>
        <w:tc>
          <w:tcPr>
            <w:tcW w:w="2060" w:type="dxa"/>
            <w:vAlign w:val="bottom"/>
            <w:tcBorders>
              <w:bottom w:val="single" w:sz="8" w:color="CCECFF"/>
            </w:tcBorders>
            <w:shd w:val="clear" w:color="auto" w:fill="CCECFF"/>
          </w:tcPr>
          <w:p>
            <w:pPr>
              <w:spacing w:after="0"/>
              <w:rPr>
                <w:sz w:val="20"/>
                <w:szCs w:val="20"/>
                <w:color w:val="auto"/>
              </w:rPr>
            </w:pPr>
          </w:p>
        </w:tc>
        <w:tc>
          <w:tcPr>
            <w:tcW w:w="2880" w:type="dxa"/>
            <w:vAlign w:val="bottom"/>
            <w:tcBorders>
              <w:bottom w:val="single" w:sz="8" w:color="CCECFF"/>
            </w:tcBorders>
            <w:shd w:val="clear" w:color="auto" w:fill="CCECFF"/>
          </w:tcPr>
          <w:p>
            <w:pPr>
              <w:spacing w:after="0"/>
              <w:rPr>
                <w:sz w:val="20"/>
                <w:szCs w:val="20"/>
                <w:color w:val="auto"/>
              </w:rPr>
            </w:pPr>
          </w:p>
        </w:tc>
      </w:tr>
      <w:tr>
        <w:trPr>
          <w:trHeight w:val="215"/>
        </w:trPr>
        <w:tc>
          <w:tcPr>
            <w:tcW w:w="33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Did Not Disclose Demographic Background</w:t>
            </w:r>
          </w:p>
        </w:tc>
        <w:tc>
          <w:tcPr>
            <w:tcW w:w="1620" w:type="dxa"/>
            <w:vAlign w:val="bottom"/>
          </w:tcPr>
          <w:p>
            <w:pPr>
              <w:jc w:val="center"/>
              <w:ind w:left="313"/>
              <w:spacing w:after="0"/>
              <w:rPr>
                <w:sz w:val="20"/>
                <w:szCs w:val="20"/>
                <w:color w:val="auto"/>
              </w:rPr>
            </w:pPr>
            <w:r>
              <w:rPr>
                <w:rFonts w:ascii="Times New Roman" w:cs="Times New Roman" w:eastAsia="Times New Roman" w:hAnsi="Times New Roman"/>
                <w:sz w:val="13"/>
                <w:szCs w:val="13"/>
                <w:color w:val="auto"/>
              </w:rPr>
              <w:t>1</w:t>
            </w:r>
          </w:p>
        </w:tc>
        <w:tc>
          <w:tcPr>
            <w:tcW w:w="1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80" w:type="dxa"/>
            <w:vAlign w:val="bottom"/>
          </w:tcPr>
          <w:p>
            <w:pPr>
              <w:spacing w:after="0"/>
              <w:rPr>
                <w:sz w:val="18"/>
                <w:szCs w:val="18"/>
                <w:color w:val="auto"/>
              </w:rPr>
            </w:pPr>
          </w:p>
        </w:tc>
      </w:tr>
    </w:tbl>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type w:val="continuous"/>
        </w:sectPr>
      </w:pPr>
    </w:p>
    <w:bookmarkStart w:id="10" w:name="page11"/>
    <w:bookmarkEnd w:id="10"/>
    <w:p>
      <w:pPr>
        <w:jc w:val="both"/>
        <w:ind w:left="380" w:right="380" w:firstLine="723"/>
        <w:spacing w:after="0" w:line="261" w:lineRule="auto"/>
        <w:rPr>
          <w:sz w:val="20"/>
          <w:szCs w:val="20"/>
          <w:color w:val="auto"/>
        </w:rPr>
      </w:pPr>
      <w:r>
        <w:rPr>
          <w:rFonts w:ascii="Times New Roman" w:cs="Times New Roman" w:eastAsia="Times New Roman" w:hAnsi="Times New Roman"/>
          <w:sz w:val="18"/>
          <w:szCs w:val="18"/>
          <w:color w:val="auto"/>
        </w:rPr>
        <w:t>Set forth below for each of our directors, including the Class II director nominees, is information as of June 18, 2026 with respect to each director’s: (a) name, address and age; (b) positions and offices with us; (c) principal occupation and business experience during at least the past five years; (d) directorships, if any, of other publicly held companies held during the past five years; and (e) the year such person became a member of our board of directors.</w:t>
      </w:r>
    </w:p>
    <w:p>
      <w:pPr>
        <w:spacing w:after="0" w:line="72" w:lineRule="exact"/>
        <w:rPr>
          <w:sz w:val="20"/>
          <w:szCs w:val="20"/>
          <w:color w:val="auto"/>
        </w:rPr>
      </w:pPr>
    </w:p>
    <w:p>
      <w:pPr>
        <w:jc w:val="both"/>
        <w:ind w:left="380" w:right="380" w:firstLine="723"/>
        <w:spacing w:after="0" w:line="266" w:lineRule="auto"/>
        <w:rPr>
          <w:sz w:val="20"/>
          <w:szCs w:val="20"/>
          <w:color w:val="auto"/>
        </w:rPr>
      </w:pPr>
      <w:r>
        <w:rPr>
          <w:rFonts w:ascii="Times New Roman" w:cs="Times New Roman" w:eastAsia="Times New Roman" w:hAnsi="Times New Roman"/>
          <w:sz w:val="18"/>
          <w:szCs w:val="18"/>
          <w:color w:val="auto"/>
        </w:rPr>
        <w:t>Following each director’s biographical information, we have provided information concerning the particular experience, qualifications, attributes and/or skills that led our nominating and corporate governance committee and board of directors to determine that each individual should serve as a director.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Director Nominees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4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7280" w:type="dxa"/>
            <w:vAlign w:val="bottom"/>
            <w:gridSpan w:val="3"/>
          </w:tcPr>
          <w:p>
            <w:pPr>
              <w:spacing w:after="0"/>
              <w:rPr>
                <w:sz w:val="2"/>
                <w:szCs w:val="2"/>
                <w:color w:val="auto"/>
              </w:rPr>
            </w:pPr>
          </w:p>
        </w:tc>
        <w:tc>
          <w:tcPr>
            <w:tcW w:w="1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tcBorders>
              <w:bottom w:val="single" w:sz="8" w:color="CCECFF"/>
            </w:tcBorders>
            <w:gridSpan w:val="3"/>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Ms. Shetty is considered independent for purposes of the 1940 Act.</w:t>
            </w:r>
          </w:p>
        </w:tc>
        <w:tc>
          <w:tcPr>
            <w:tcW w:w="1320" w:type="dxa"/>
            <w:vAlign w:val="bottom"/>
            <w:tcBorders>
              <w:bottom w:val="single" w:sz="8" w:color="CCECFF"/>
            </w:tcBorders>
            <w:shd w:val="clear" w:color="auto" w:fill="CCECFF"/>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728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5"/>
                <w:szCs w:val="15"/>
                <w:b w:val="1"/>
                <w:bCs w:val="1"/>
                <w:color w:val="auto"/>
              </w:rPr>
              <w:t>Class II director nominee to be elected at the 2026 Annual Meeting (if elected, term to expire in 2029)</w:t>
            </w:r>
          </w:p>
        </w:tc>
        <w:tc>
          <w:tcPr>
            <w:tcW w:w="132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Portfolios in Fund</w:t>
            </w:r>
          </w:p>
        </w:tc>
        <w:tc>
          <w:tcPr>
            <w:tcW w:w="12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180" w:type="dxa"/>
            <w:vAlign w:val="bottom"/>
            <w:tcBorders>
              <w:bottom w:val="single" w:sz="8" w:color="CCECFF"/>
            </w:tcBorders>
          </w:tcPr>
          <w:p>
            <w:pPr>
              <w:spacing w:after="0"/>
              <w:rPr>
                <w:sz w:val="10"/>
                <w:szCs w:val="10"/>
                <w:color w:val="auto"/>
              </w:rPr>
            </w:pPr>
          </w:p>
        </w:tc>
        <w:tc>
          <w:tcPr>
            <w:tcW w:w="1480" w:type="dxa"/>
            <w:vAlign w:val="bottom"/>
            <w:tcBorders>
              <w:bottom w:val="single" w:sz="8" w:color="CCECFF"/>
            </w:tcBorders>
          </w:tcPr>
          <w:p>
            <w:pPr>
              <w:spacing w:after="0"/>
              <w:rPr>
                <w:sz w:val="10"/>
                <w:szCs w:val="10"/>
                <w:color w:val="auto"/>
              </w:rPr>
            </w:pPr>
          </w:p>
        </w:tc>
        <w:tc>
          <w:tcPr>
            <w:tcW w:w="4620" w:type="dxa"/>
            <w:vAlign w:val="bottom"/>
            <w:tcBorders>
              <w:bottom w:val="single" w:sz="8" w:color="CCECFF"/>
            </w:tcBorders>
          </w:tcPr>
          <w:p>
            <w:pPr>
              <w:spacing w:after="0"/>
              <w:rPr>
                <w:sz w:val="10"/>
                <w:szCs w:val="10"/>
                <w:color w:val="auto"/>
              </w:rPr>
            </w:pPr>
          </w:p>
        </w:tc>
        <w:tc>
          <w:tcPr>
            <w:tcW w:w="1320" w:type="dxa"/>
            <w:vAlign w:val="bottom"/>
            <w:tcBorders>
              <w:bottom w:val="single" w:sz="8" w:color="CCECFF"/>
            </w:tcBorders>
          </w:tcPr>
          <w:p>
            <w:pPr>
              <w:spacing w:after="0"/>
              <w:rPr>
                <w:sz w:val="10"/>
                <w:szCs w:val="10"/>
                <w:color w:val="auto"/>
              </w:rPr>
            </w:pPr>
          </w:p>
        </w:tc>
        <w:tc>
          <w:tcPr>
            <w:tcW w:w="13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Complex</w:t>
            </w:r>
          </w:p>
        </w:tc>
        <w:tc>
          <w:tcPr>
            <w:tcW w:w="1280" w:type="dxa"/>
            <w:vAlign w:val="bottom"/>
            <w:tcBorders>
              <w:bottom w:val="single" w:sz="8" w:color="CCECFF"/>
            </w:tcBorders>
            <w:shd w:val="clear" w:color="auto" w:fill="CCECFF"/>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46"/>
        </w:trPr>
        <w:tc>
          <w:tcPr>
            <w:tcW w:w="1180" w:type="dxa"/>
            <w:vAlign w:val="bottom"/>
            <w:shd w:val="clear" w:color="auto" w:fill="CCECFF"/>
          </w:tcPr>
          <w:p>
            <w:pPr>
              <w:ind w:left="100"/>
              <w:spacing w:after="0" w:line="146" w:lineRule="exact"/>
              <w:rPr>
                <w:sz w:val="20"/>
                <w:szCs w:val="20"/>
                <w:color w:val="auto"/>
              </w:rPr>
            </w:pPr>
            <w:r>
              <w:rPr>
                <w:rFonts w:ascii="Times New Roman" w:cs="Times New Roman" w:eastAsia="Times New Roman" w:hAnsi="Times New Roman"/>
                <w:sz w:val="16"/>
                <w:szCs w:val="16"/>
                <w:b w:val="1"/>
                <w:bCs w:val="1"/>
                <w:color w:val="auto"/>
              </w:rPr>
              <w:t>Name,</w:t>
            </w:r>
          </w:p>
        </w:tc>
        <w:tc>
          <w:tcPr>
            <w:tcW w:w="1480" w:type="dxa"/>
            <w:vAlign w:val="bottom"/>
            <w:shd w:val="clear" w:color="auto" w:fill="CCECFF"/>
          </w:tcPr>
          <w:p>
            <w:pPr>
              <w:ind w:left="140"/>
              <w:spacing w:after="0" w:line="146" w:lineRule="exact"/>
              <w:rPr>
                <w:sz w:val="20"/>
                <w:szCs w:val="20"/>
                <w:color w:val="auto"/>
              </w:rPr>
            </w:pPr>
            <w:r>
              <w:rPr>
                <w:rFonts w:ascii="Times New Roman" w:cs="Times New Roman" w:eastAsia="Times New Roman" w:hAnsi="Times New Roman"/>
                <w:sz w:val="16"/>
                <w:szCs w:val="16"/>
                <w:b w:val="1"/>
                <w:bCs w:val="1"/>
                <w:color w:val="auto"/>
              </w:rPr>
              <w:t>Term of Office</w:t>
            </w:r>
          </w:p>
        </w:tc>
        <w:tc>
          <w:tcPr>
            <w:tcW w:w="4620" w:type="dxa"/>
            <w:vAlign w:val="bottom"/>
            <w:shd w:val="clear" w:color="auto" w:fill="CCECFF"/>
          </w:tcPr>
          <w:p>
            <w:pPr>
              <w:spacing w:after="0"/>
              <w:rPr>
                <w:sz w:val="12"/>
                <w:szCs w:val="12"/>
                <w:color w:val="auto"/>
              </w:rPr>
            </w:pPr>
          </w:p>
        </w:tc>
        <w:tc>
          <w:tcPr>
            <w:tcW w:w="1320" w:type="dxa"/>
            <w:vAlign w:val="bottom"/>
            <w:shd w:val="clear" w:color="auto" w:fill="CCECFF"/>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Overseen</w:t>
            </w:r>
          </w:p>
        </w:tc>
        <w:tc>
          <w:tcPr>
            <w:tcW w:w="1280" w:type="dxa"/>
            <w:vAlign w:val="bottom"/>
            <w:shd w:val="clear" w:color="auto" w:fill="CCECFF"/>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Directorships</w:t>
            </w:r>
          </w:p>
        </w:tc>
        <w:tc>
          <w:tcPr>
            <w:tcW w:w="0" w:type="dxa"/>
            <w:vAlign w:val="bottom"/>
          </w:tcPr>
          <w:p>
            <w:pPr>
              <w:spacing w:after="0"/>
              <w:rPr>
                <w:sz w:val="1"/>
                <w:szCs w:val="1"/>
                <w:color w:val="auto"/>
              </w:rPr>
            </w:pPr>
          </w:p>
        </w:tc>
      </w:tr>
      <w:tr>
        <w:trPr>
          <w:trHeight w:val="162"/>
        </w:trPr>
        <w:tc>
          <w:tcPr>
            <w:tcW w:w="1180" w:type="dxa"/>
            <w:vAlign w:val="bottom"/>
            <w:shd w:val="clear" w:color="auto" w:fill="CCECFF"/>
          </w:tcPr>
          <w:p>
            <w:pPr>
              <w:ind w:left="100"/>
              <w:spacing w:after="0" w:line="162" w:lineRule="exact"/>
              <w:rPr>
                <w:sz w:val="20"/>
                <w:szCs w:val="20"/>
                <w:color w:val="auto"/>
              </w:rPr>
            </w:pPr>
            <w:r>
              <w:rPr>
                <w:rFonts w:ascii="Times New Roman" w:cs="Times New Roman" w:eastAsia="Times New Roman" w:hAnsi="Times New Roman"/>
                <w:sz w:val="16"/>
                <w:szCs w:val="16"/>
                <w:b w:val="1"/>
                <w:bCs w:val="1"/>
                <w:color w:val="auto"/>
              </w:rPr>
              <w:t>Address(1)</w:t>
            </w:r>
          </w:p>
        </w:tc>
        <w:tc>
          <w:tcPr>
            <w:tcW w:w="1480" w:type="dxa"/>
            <w:vAlign w:val="bottom"/>
            <w:shd w:val="clear" w:color="auto" w:fill="CCECFF"/>
          </w:tcPr>
          <w:p>
            <w:pPr>
              <w:ind w:left="140"/>
              <w:spacing w:after="0" w:line="162" w:lineRule="exact"/>
              <w:rPr>
                <w:sz w:val="20"/>
                <w:szCs w:val="20"/>
                <w:color w:val="auto"/>
              </w:rPr>
            </w:pPr>
            <w:r>
              <w:rPr>
                <w:rFonts w:ascii="Times New Roman" w:cs="Times New Roman" w:eastAsia="Times New Roman" w:hAnsi="Times New Roman"/>
                <w:sz w:val="16"/>
                <w:szCs w:val="16"/>
                <w:b w:val="1"/>
                <w:bCs w:val="1"/>
                <w:color w:val="auto"/>
              </w:rPr>
              <w:t>and Length of</w:t>
            </w:r>
          </w:p>
        </w:tc>
        <w:tc>
          <w:tcPr>
            <w:tcW w:w="5940" w:type="dxa"/>
            <w:vAlign w:val="bottom"/>
            <w:gridSpan w:val="2"/>
            <w:vMerge w:val="restart"/>
            <w:shd w:val="clear" w:color="auto" w:fill="CCECFF"/>
          </w:tcPr>
          <w:p>
            <w:pPr>
              <w:ind w:left="140"/>
              <w:spacing w:after="0"/>
              <w:rPr>
                <w:sz w:val="20"/>
                <w:szCs w:val="20"/>
                <w:color w:val="auto"/>
              </w:rPr>
            </w:pPr>
            <w:r>
              <w:rPr>
                <w:rFonts w:ascii="Times New Roman" w:cs="Times New Roman" w:eastAsia="Times New Roman" w:hAnsi="Times New Roman"/>
                <w:sz w:val="16"/>
                <w:szCs w:val="16"/>
                <w:b w:val="1"/>
                <w:bCs w:val="1"/>
                <w:color w:val="auto"/>
              </w:rPr>
              <w:t>Position(s) Held with Fund, Principal Occupation and Other Business Experience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by Director or</w:t>
            </w:r>
          </w:p>
        </w:tc>
        <w:tc>
          <w:tcPr>
            <w:tcW w:w="12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b w:val="1"/>
                <w:bCs w:val="1"/>
                <w:color w:val="auto"/>
              </w:rPr>
              <w:t>Held by Director</w:t>
            </w:r>
          </w:p>
        </w:tc>
        <w:tc>
          <w:tcPr>
            <w:tcW w:w="0" w:type="dxa"/>
            <w:vAlign w:val="bottom"/>
          </w:tcPr>
          <w:p>
            <w:pPr>
              <w:spacing w:after="0"/>
              <w:rPr>
                <w:sz w:val="1"/>
                <w:szCs w:val="1"/>
                <w:color w:val="auto"/>
              </w:rPr>
            </w:pPr>
          </w:p>
        </w:tc>
      </w:tr>
      <w:tr>
        <w:trPr>
          <w:trHeight w:val="92"/>
        </w:trPr>
        <w:tc>
          <w:tcPr>
            <w:tcW w:w="1180" w:type="dxa"/>
            <w:vAlign w:val="bottom"/>
            <w:vMerge w:val="restart"/>
            <w:shd w:val="clear" w:color="auto" w:fill="CCECFF"/>
          </w:tcPr>
          <w:p>
            <w:pPr>
              <w:ind w:left="100"/>
              <w:spacing w:after="0"/>
              <w:rPr>
                <w:sz w:val="20"/>
                <w:szCs w:val="20"/>
                <w:color w:val="auto"/>
              </w:rPr>
            </w:pPr>
            <w:r>
              <w:rPr>
                <w:rFonts w:ascii="Times New Roman" w:cs="Times New Roman" w:eastAsia="Times New Roman" w:hAnsi="Times New Roman"/>
                <w:sz w:val="16"/>
                <w:szCs w:val="16"/>
                <w:b w:val="1"/>
                <w:bCs w:val="1"/>
                <w:color w:val="auto"/>
              </w:rPr>
              <w:t>and Age</w:t>
            </w:r>
          </w:p>
        </w:tc>
        <w:tc>
          <w:tcPr>
            <w:tcW w:w="1480" w:type="dxa"/>
            <w:vAlign w:val="bottom"/>
            <w:vMerge w:val="restart"/>
            <w:shd w:val="clear" w:color="auto" w:fill="CCECFF"/>
          </w:tcPr>
          <w:p>
            <w:pPr>
              <w:ind w:left="140"/>
              <w:spacing w:after="0"/>
              <w:rPr>
                <w:sz w:val="20"/>
                <w:szCs w:val="20"/>
                <w:color w:val="auto"/>
              </w:rPr>
            </w:pPr>
            <w:r>
              <w:rPr>
                <w:rFonts w:ascii="Times New Roman" w:cs="Times New Roman" w:eastAsia="Times New Roman" w:hAnsi="Times New Roman"/>
                <w:sz w:val="16"/>
                <w:szCs w:val="16"/>
                <w:b w:val="1"/>
                <w:bCs w:val="1"/>
                <w:color w:val="auto"/>
              </w:rPr>
              <w:t>Time Served</w:t>
            </w:r>
          </w:p>
        </w:tc>
        <w:tc>
          <w:tcPr>
            <w:tcW w:w="5940" w:type="dxa"/>
            <w:vAlign w:val="bottom"/>
            <w:gridSpan w:val="2"/>
            <w:vMerge w:val="continue"/>
            <w:shd w:val="clear" w:color="auto" w:fill="CCECFF"/>
          </w:tcPr>
          <w:p>
            <w:pPr>
              <w:spacing w:after="0"/>
              <w:rPr>
                <w:sz w:val="8"/>
                <w:szCs w:val="8"/>
                <w:color w:val="auto"/>
              </w:rPr>
            </w:pPr>
          </w:p>
        </w:tc>
        <w:tc>
          <w:tcPr>
            <w:tcW w:w="13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Nominees for</w:t>
            </w:r>
          </w:p>
        </w:tc>
        <w:tc>
          <w:tcPr>
            <w:tcW w:w="1280" w:type="dxa"/>
            <w:vAlign w:val="bottom"/>
            <w:vMerge w:val="restart"/>
            <w:shd w:val="clear" w:color="auto" w:fill="CCECFF"/>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or Nominee for</w:t>
            </w:r>
          </w:p>
        </w:tc>
        <w:tc>
          <w:tcPr>
            <w:tcW w:w="0" w:type="dxa"/>
            <w:vAlign w:val="bottom"/>
          </w:tcPr>
          <w:p>
            <w:pPr>
              <w:spacing w:after="0"/>
              <w:rPr>
                <w:sz w:val="1"/>
                <w:szCs w:val="1"/>
                <w:color w:val="auto"/>
              </w:rPr>
            </w:pPr>
          </w:p>
        </w:tc>
      </w:tr>
      <w:tr>
        <w:trPr>
          <w:trHeight w:val="45"/>
        </w:trPr>
        <w:tc>
          <w:tcPr>
            <w:tcW w:w="1180" w:type="dxa"/>
            <w:vAlign w:val="bottom"/>
            <w:vMerge w:val="continue"/>
            <w:shd w:val="clear" w:color="auto" w:fill="CCECFF"/>
          </w:tcPr>
          <w:p>
            <w:pPr>
              <w:spacing w:after="0"/>
              <w:rPr>
                <w:sz w:val="3"/>
                <w:szCs w:val="3"/>
                <w:color w:val="auto"/>
              </w:rPr>
            </w:pPr>
          </w:p>
        </w:tc>
        <w:tc>
          <w:tcPr>
            <w:tcW w:w="1480" w:type="dxa"/>
            <w:vAlign w:val="bottom"/>
            <w:vMerge w:val="continue"/>
            <w:shd w:val="clear" w:color="auto" w:fill="CCECFF"/>
          </w:tcPr>
          <w:p>
            <w:pPr>
              <w:spacing w:after="0"/>
              <w:rPr>
                <w:sz w:val="3"/>
                <w:szCs w:val="3"/>
                <w:color w:val="auto"/>
              </w:rPr>
            </w:pPr>
          </w:p>
        </w:tc>
        <w:tc>
          <w:tcPr>
            <w:tcW w:w="4620" w:type="dxa"/>
            <w:vAlign w:val="bottom"/>
            <w:vMerge w:val="restart"/>
            <w:shd w:val="clear" w:color="auto" w:fill="CCECFF"/>
          </w:tcPr>
          <w:p>
            <w:pPr>
              <w:ind w:left="2020"/>
              <w:spacing w:after="0"/>
              <w:rPr>
                <w:sz w:val="20"/>
                <w:szCs w:val="20"/>
                <w:color w:val="auto"/>
              </w:rPr>
            </w:pPr>
            <w:r>
              <w:rPr>
                <w:rFonts w:ascii="Times New Roman" w:cs="Times New Roman" w:eastAsia="Times New Roman" w:hAnsi="Times New Roman"/>
                <w:sz w:val="16"/>
                <w:szCs w:val="16"/>
                <w:b w:val="1"/>
                <w:bCs w:val="1"/>
                <w:color w:val="auto"/>
              </w:rPr>
              <w:t>During the Past Five Years</w:t>
            </w:r>
          </w:p>
        </w:tc>
        <w:tc>
          <w:tcPr>
            <w:tcW w:w="1320" w:type="dxa"/>
            <w:vAlign w:val="bottom"/>
            <w:shd w:val="clear" w:color="auto" w:fill="CCECFF"/>
          </w:tcPr>
          <w:p>
            <w:pPr>
              <w:spacing w:after="0"/>
              <w:rPr>
                <w:sz w:val="3"/>
                <w:szCs w:val="3"/>
                <w:color w:val="auto"/>
              </w:rPr>
            </w:pPr>
          </w:p>
        </w:tc>
        <w:tc>
          <w:tcPr>
            <w:tcW w:w="1360" w:type="dxa"/>
            <w:vAlign w:val="bottom"/>
            <w:vMerge w:val="continue"/>
          </w:tcPr>
          <w:p>
            <w:pPr>
              <w:spacing w:after="0"/>
              <w:rPr>
                <w:sz w:val="3"/>
                <w:szCs w:val="3"/>
                <w:color w:val="auto"/>
              </w:rPr>
            </w:pPr>
          </w:p>
        </w:tc>
        <w:tc>
          <w:tcPr>
            <w:tcW w:w="1280" w:type="dxa"/>
            <w:vAlign w:val="bottom"/>
            <w:vMerge w:val="continue"/>
            <w:shd w:val="clear" w:color="auto" w:fill="CCECFF"/>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180" w:type="dxa"/>
            <w:vAlign w:val="bottom"/>
            <w:tcBorders>
              <w:bottom w:val="single" w:sz="8" w:color="CCECFF"/>
            </w:tcBorders>
            <w:vMerge w:val="continue"/>
            <w:shd w:val="clear" w:color="auto" w:fill="CCECFF"/>
          </w:tcPr>
          <w:p>
            <w:pPr>
              <w:spacing w:after="0"/>
              <w:rPr>
                <w:sz w:val="15"/>
                <w:szCs w:val="15"/>
                <w:color w:val="auto"/>
              </w:rPr>
            </w:pPr>
          </w:p>
        </w:tc>
        <w:tc>
          <w:tcPr>
            <w:tcW w:w="1480" w:type="dxa"/>
            <w:vAlign w:val="bottom"/>
            <w:tcBorders>
              <w:bottom w:val="single" w:sz="8" w:color="CCECFF"/>
            </w:tcBorders>
            <w:vMerge w:val="continue"/>
            <w:shd w:val="clear" w:color="auto" w:fill="CCECFF"/>
          </w:tcPr>
          <w:p>
            <w:pPr>
              <w:spacing w:after="0"/>
              <w:rPr>
                <w:sz w:val="15"/>
                <w:szCs w:val="15"/>
                <w:color w:val="auto"/>
              </w:rPr>
            </w:pPr>
          </w:p>
        </w:tc>
        <w:tc>
          <w:tcPr>
            <w:tcW w:w="4620" w:type="dxa"/>
            <w:vAlign w:val="bottom"/>
            <w:tcBorders>
              <w:bottom w:val="single" w:sz="8" w:color="CCECFF"/>
            </w:tcBorders>
            <w:vMerge w:val="continue"/>
            <w:shd w:val="clear" w:color="auto" w:fill="CCECFF"/>
          </w:tcPr>
          <w:p>
            <w:pPr>
              <w:spacing w:after="0"/>
              <w:rPr>
                <w:sz w:val="15"/>
                <w:szCs w:val="15"/>
                <w:color w:val="auto"/>
              </w:rPr>
            </w:pPr>
          </w:p>
        </w:tc>
        <w:tc>
          <w:tcPr>
            <w:tcW w:w="1320" w:type="dxa"/>
            <w:vAlign w:val="bottom"/>
            <w:tcBorders>
              <w:bottom w:val="single" w:sz="8" w:color="CCECFF"/>
            </w:tcBorders>
            <w:shd w:val="clear" w:color="auto" w:fill="CCECFF"/>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Director(2)</w:t>
            </w:r>
          </w:p>
        </w:tc>
        <w:tc>
          <w:tcPr>
            <w:tcW w:w="128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0" w:type="dxa"/>
            <w:vAlign w:val="bottom"/>
          </w:tcPr>
          <w:p>
            <w:pPr>
              <w:spacing w:after="0"/>
              <w:rPr>
                <w:sz w:val="1"/>
                <w:szCs w:val="1"/>
                <w:color w:val="auto"/>
              </w:rPr>
            </w:pPr>
          </w:p>
        </w:tc>
      </w:tr>
      <w:tr>
        <w:trPr>
          <w:trHeight w:val="182"/>
        </w:trPr>
        <w:tc>
          <w:tcPr>
            <w:tcW w:w="1180" w:type="dxa"/>
            <w:vAlign w:val="bottom"/>
            <w:tcBorders>
              <w:top w:val="single" w:sz="8" w:color="auto"/>
            </w:tcBorders>
          </w:tcPr>
          <w:p>
            <w:pPr>
              <w:ind w:left="100"/>
              <w:spacing w:after="0" w:line="182" w:lineRule="exact"/>
              <w:rPr>
                <w:sz w:val="20"/>
                <w:szCs w:val="20"/>
                <w:color w:val="auto"/>
              </w:rPr>
            </w:pPr>
            <w:r>
              <w:rPr>
                <w:rFonts w:ascii="Times New Roman" w:cs="Times New Roman" w:eastAsia="Times New Roman" w:hAnsi="Times New Roman"/>
                <w:sz w:val="16"/>
                <w:szCs w:val="16"/>
                <w:color w:val="auto"/>
              </w:rPr>
              <w:t>Romita Shetty</w:t>
            </w:r>
          </w:p>
        </w:tc>
        <w:tc>
          <w:tcPr>
            <w:tcW w:w="1480" w:type="dxa"/>
            <w:vAlign w:val="bottom"/>
            <w:tcBorders>
              <w:top w:val="single" w:sz="8" w:color="auto"/>
            </w:tcBorders>
          </w:tcPr>
          <w:p>
            <w:pPr>
              <w:ind w:left="140"/>
              <w:spacing w:after="0" w:line="182" w:lineRule="exact"/>
              <w:rPr>
                <w:sz w:val="20"/>
                <w:szCs w:val="20"/>
                <w:color w:val="auto"/>
              </w:rPr>
            </w:pPr>
            <w:r>
              <w:rPr>
                <w:rFonts w:ascii="Times New Roman" w:cs="Times New Roman" w:eastAsia="Times New Roman" w:hAnsi="Times New Roman"/>
                <w:sz w:val="16"/>
                <w:szCs w:val="16"/>
                <w:color w:val="auto"/>
              </w:rPr>
              <w:t>Director since</w:t>
            </w:r>
          </w:p>
        </w:tc>
        <w:tc>
          <w:tcPr>
            <w:tcW w:w="5940" w:type="dxa"/>
            <w:vAlign w:val="bottom"/>
            <w:tcBorders>
              <w:top w:val="single" w:sz="8" w:color="auto"/>
            </w:tcBorders>
            <w:gridSpan w:val="2"/>
          </w:tcPr>
          <w:p>
            <w:pPr>
              <w:ind w:left="140"/>
              <w:spacing w:after="0" w:line="182" w:lineRule="exact"/>
              <w:rPr>
                <w:sz w:val="20"/>
                <w:szCs w:val="20"/>
                <w:color w:val="auto"/>
              </w:rPr>
            </w:pPr>
            <w:r>
              <w:rPr>
                <w:rFonts w:ascii="Times New Roman" w:cs="Times New Roman" w:eastAsia="Times New Roman" w:hAnsi="Times New Roman"/>
                <w:sz w:val="16"/>
                <w:szCs w:val="16"/>
                <w:color w:val="auto"/>
              </w:rPr>
              <w:t>Ms. Shetty has served as a partner of DA Management, an investment firm that invests</w:t>
            </w:r>
          </w:p>
        </w:tc>
        <w:tc>
          <w:tcPr>
            <w:tcW w:w="13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(3)(4)(5)(6)</w:t>
            </w:r>
          </w:p>
        </w:tc>
        <w:tc>
          <w:tcPr>
            <w:tcW w:w="1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2018; term expires</w:t>
            </w:r>
          </w:p>
        </w:tc>
        <w:tc>
          <w:tcPr>
            <w:tcW w:w="5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across public and private markets (including venture capital) in both equity and debt</w:t>
            </w:r>
          </w:p>
        </w:tc>
        <w:tc>
          <w:tcPr>
            <w:tcW w:w="1360" w:type="dxa"/>
            <w:vAlign w:val="bottom"/>
            <w:vMerge w:val="restart"/>
          </w:tcPr>
          <w:p>
            <w:pPr>
              <w:jc w:val="right"/>
              <w:ind w:right="568"/>
              <w:spacing w:after="0"/>
              <w:rPr>
                <w:sz w:val="20"/>
                <w:szCs w:val="20"/>
                <w:color w:val="auto"/>
              </w:rPr>
            </w:pPr>
            <w:r>
              <w:rPr>
                <w:rFonts w:ascii="Times New Roman" w:cs="Times New Roman" w:eastAsia="Times New Roman" w:hAnsi="Times New Roman"/>
                <w:sz w:val="16"/>
                <w:szCs w:val="16"/>
                <w:color w:val="auto"/>
              </w:rPr>
              <w:t>2</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OFS Capital</w:t>
            </w:r>
          </w:p>
        </w:tc>
        <w:tc>
          <w:tcPr>
            <w:tcW w:w="0" w:type="dxa"/>
            <w:vAlign w:val="bottom"/>
          </w:tcPr>
          <w:p>
            <w:pPr>
              <w:spacing w:after="0"/>
              <w:rPr>
                <w:sz w:val="1"/>
                <w:szCs w:val="1"/>
                <w:color w:val="auto"/>
              </w:rPr>
            </w:pPr>
          </w:p>
        </w:tc>
      </w:tr>
      <w:tr>
        <w:trPr>
          <w:trHeight w:val="54"/>
        </w:trPr>
        <w:tc>
          <w:tcPr>
            <w:tcW w:w="11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Age: 60</w:t>
            </w: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46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and owns DA Capital, an investment advisor.  Ms. Shetty has</w:t>
            </w:r>
          </w:p>
        </w:tc>
        <w:tc>
          <w:tcPr>
            <w:tcW w:w="13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over 30 years of</w:t>
            </w:r>
          </w:p>
        </w:tc>
        <w:tc>
          <w:tcPr>
            <w:tcW w:w="13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18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462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both"/>
        <w:ind w:left="2800" w:right="2720"/>
        <w:spacing w:after="0" w:line="265" w:lineRule="auto"/>
        <w:rPr>
          <w:sz w:val="20"/>
          <w:szCs w:val="20"/>
          <w:color w:val="auto"/>
        </w:rPr>
      </w:pPr>
      <w:r>
        <w:rPr>
          <w:rFonts w:ascii="Times New Roman" w:cs="Times New Roman" w:eastAsia="Times New Roman" w:hAnsi="Times New Roman"/>
          <w:sz w:val="16"/>
          <w:szCs w:val="16"/>
          <w:color w:val="auto"/>
        </w:rPr>
        <w:t>experience in fixed income and credit. She participates in portfolio company boards and management and leads The Shopping Lab, an innovative consumer and data business that includes the Grocery Buddy app. She has also served in a management capacity as President of DA Capital Asia Pte Ltd. From 2007 to 2008, she led the Global Special Opportunities group at Lehman Brothers, which invested proprietary capital. Prior to that, she co-led North American structured equity and credit markets and the Global Alternative Investment product businesses at RBS from 2004 to 2006. Previously, Ms. Shetty worked at JP Morgan from 1997 to 2004, where she led their Global Structured Credit Derivatives as well as Financial Institutions Solutions and CDO businesses. She started her career at Standard &amp; Poor’s in 1990 where she worked on a wide variety of credit ratings, including municipal bonds, financial institutions and asset-backed securities and managed a part of their ABS ratings business. Ms. Shetty also currently serves on the board of directors of OFS Capital. Ms. Shetty holds a Bachelor of Arts (Honors) in History from St. Stephens College, India and a Master of International Affairs from Columbia University.</w:t>
      </w:r>
    </w:p>
    <w:p>
      <w:pPr>
        <w:spacing w:after="0" w:line="29" w:lineRule="exact"/>
        <w:rPr>
          <w:sz w:val="20"/>
          <w:szCs w:val="20"/>
          <w:color w:val="auto"/>
        </w:rPr>
      </w:pPr>
    </w:p>
    <w:p>
      <w:pPr>
        <w:jc w:val="both"/>
        <w:ind w:left="2800" w:right="2740"/>
        <w:spacing w:after="0" w:line="271" w:lineRule="auto"/>
        <w:rPr>
          <w:sz w:val="20"/>
          <w:szCs w:val="20"/>
          <w:color w:val="auto"/>
        </w:rPr>
      </w:pPr>
      <w:r>
        <w:rPr>
          <w:rFonts w:ascii="Times New Roman" w:cs="Times New Roman" w:eastAsia="Times New Roman" w:hAnsi="Times New Roman"/>
          <w:sz w:val="16"/>
          <w:szCs w:val="16"/>
          <w:color w:val="auto"/>
        </w:rPr>
        <w:t>Ms. Shetty, the chair of our compensation committee, has vast experience in fixed income and credit management and expertise in the Company’s investments qualifies her for service on our board of directors. Ms. Shetty’s background has enabled her to cultivate an enhanced understanding of operations and strategy with an added layer of risk management experience that is an important aspect of the composition of our board of directors.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Our Director Nominees (Continued)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80" w:type="dxa"/>
            <w:vAlign w:val="bottom"/>
            <w:tcBorders>
              <w:bottom w:val="single" w:sz="8" w:color="CCECFF"/>
            </w:tcBorders>
            <w:gridSpan w:val="3"/>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Ms. Fitta is considered independent for purposes of the 1940 Act.</w:t>
            </w:r>
          </w:p>
        </w:tc>
        <w:tc>
          <w:tcPr>
            <w:tcW w:w="1280" w:type="dxa"/>
            <w:vAlign w:val="bottom"/>
            <w:tcBorders>
              <w:bottom w:val="single" w:sz="8" w:color="CCECFF"/>
            </w:tcBorders>
            <w:shd w:val="clear" w:color="auto" w:fill="CCECFF"/>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738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5"/>
                <w:szCs w:val="15"/>
                <w:b w:val="1"/>
                <w:bCs w:val="1"/>
                <w:color w:val="auto"/>
              </w:rPr>
              <w:t>Class II director nominee to be elected at the 2026 Annual Meeting (if elected, term to expire in 2029)</w:t>
            </w:r>
          </w:p>
        </w:tc>
        <w:tc>
          <w:tcPr>
            <w:tcW w:w="128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Portfolios in Fund</w:t>
            </w:r>
          </w:p>
        </w:tc>
        <w:tc>
          <w:tcPr>
            <w:tcW w:w="12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17"/>
        </w:trPr>
        <w:tc>
          <w:tcPr>
            <w:tcW w:w="1320" w:type="dxa"/>
            <w:vAlign w:val="bottom"/>
            <w:tcBorders>
              <w:bottom w:val="single" w:sz="8" w:color="CCECFF"/>
            </w:tcBorders>
          </w:tcPr>
          <w:p>
            <w:pPr>
              <w:spacing w:after="0"/>
              <w:rPr>
                <w:sz w:val="10"/>
                <w:szCs w:val="10"/>
                <w:color w:val="auto"/>
              </w:rPr>
            </w:pPr>
          </w:p>
        </w:tc>
        <w:tc>
          <w:tcPr>
            <w:tcW w:w="1500" w:type="dxa"/>
            <w:vAlign w:val="bottom"/>
            <w:tcBorders>
              <w:bottom w:val="single" w:sz="8" w:color="CCECFF"/>
            </w:tcBorders>
          </w:tcPr>
          <w:p>
            <w:pPr>
              <w:spacing w:after="0"/>
              <w:rPr>
                <w:sz w:val="10"/>
                <w:szCs w:val="10"/>
                <w:color w:val="auto"/>
              </w:rPr>
            </w:pPr>
          </w:p>
        </w:tc>
        <w:tc>
          <w:tcPr>
            <w:tcW w:w="4560" w:type="dxa"/>
            <w:vAlign w:val="bottom"/>
            <w:tcBorders>
              <w:bottom w:val="single" w:sz="8" w:color="CCECFF"/>
            </w:tcBorders>
          </w:tcPr>
          <w:p>
            <w:pPr>
              <w:spacing w:after="0"/>
              <w:rPr>
                <w:sz w:val="10"/>
                <w:szCs w:val="10"/>
                <w:color w:val="auto"/>
              </w:rPr>
            </w:pPr>
          </w:p>
        </w:tc>
        <w:tc>
          <w:tcPr>
            <w:tcW w:w="1280" w:type="dxa"/>
            <w:vAlign w:val="bottom"/>
            <w:tcBorders>
              <w:bottom w:val="single" w:sz="8" w:color="CCECFF"/>
            </w:tcBorders>
          </w:tcPr>
          <w:p>
            <w:pPr>
              <w:spacing w:after="0"/>
              <w:rPr>
                <w:sz w:val="10"/>
                <w:szCs w:val="10"/>
                <w:color w:val="auto"/>
              </w:rPr>
            </w:pPr>
          </w:p>
        </w:tc>
        <w:tc>
          <w:tcPr>
            <w:tcW w:w="13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Complex</w:t>
            </w:r>
          </w:p>
        </w:tc>
        <w:tc>
          <w:tcPr>
            <w:tcW w:w="1220" w:type="dxa"/>
            <w:vAlign w:val="bottom"/>
            <w:tcBorders>
              <w:bottom w:val="single" w:sz="8" w:color="CCECFF"/>
            </w:tcBorders>
            <w:shd w:val="clear" w:color="auto" w:fill="CCECFF"/>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Directorships</w:t>
            </w:r>
          </w:p>
        </w:tc>
        <w:tc>
          <w:tcPr>
            <w:tcW w:w="0" w:type="dxa"/>
            <w:vAlign w:val="bottom"/>
          </w:tcPr>
          <w:p>
            <w:pPr>
              <w:spacing w:after="0"/>
              <w:rPr>
                <w:sz w:val="1"/>
                <w:szCs w:val="1"/>
                <w:color w:val="auto"/>
              </w:rPr>
            </w:pPr>
          </w:p>
        </w:tc>
      </w:tr>
      <w:tr>
        <w:trPr>
          <w:trHeight w:val="146"/>
        </w:trPr>
        <w:tc>
          <w:tcPr>
            <w:tcW w:w="1320" w:type="dxa"/>
            <w:vAlign w:val="bottom"/>
            <w:shd w:val="clear" w:color="auto" w:fill="CCECFF"/>
          </w:tcPr>
          <w:p>
            <w:pPr>
              <w:ind w:left="100"/>
              <w:spacing w:after="0" w:line="146" w:lineRule="exact"/>
              <w:rPr>
                <w:sz w:val="20"/>
                <w:szCs w:val="20"/>
                <w:color w:val="auto"/>
              </w:rPr>
            </w:pPr>
            <w:r>
              <w:rPr>
                <w:rFonts w:ascii="Times New Roman" w:cs="Times New Roman" w:eastAsia="Times New Roman" w:hAnsi="Times New Roman"/>
                <w:sz w:val="16"/>
                <w:szCs w:val="16"/>
                <w:b w:val="1"/>
                <w:bCs w:val="1"/>
                <w:color w:val="auto"/>
              </w:rPr>
              <w:t>Name,</w:t>
            </w:r>
          </w:p>
        </w:tc>
        <w:tc>
          <w:tcPr>
            <w:tcW w:w="1500" w:type="dxa"/>
            <w:vAlign w:val="bottom"/>
            <w:shd w:val="clear" w:color="auto" w:fill="CCECFF"/>
          </w:tcPr>
          <w:p>
            <w:pPr>
              <w:ind w:left="140"/>
              <w:spacing w:after="0" w:line="146" w:lineRule="exact"/>
              <w:rPr>
                <w:sz w:val="20"/>
                <w:szCs w:val="20"/>
                <w:color w:val="auto"/>
              </w:rPr>
            </w:pPr>
            <w:r>
              <w:rPr>
                <w:rFonts w:ascii="Times New Roman" w:cs="Times New Roman" w:eastAsia="Times New Roman" w:hAnsi="Times New Roman"/>
                <w:sz w:val="16"/>
                <w:szCs w:val="16"/>
                <w:b w:val="1"/>
                <w:bCs w:val="1"/>
                <w:color w:val="auto"/>
              </w:rPr>
              <w:t>Term of Office</w:t>
            </w:r>
          </w:p>
        </w:tc>
        <w:tc>
          <w:tcPr>
            <w:tcW w:w="4560" w:type="dxa"/>
            <w:vAlign w:val="bottom"/>
            <w:shd w:val="clear" w:color="auto" w:fill="CCECFF"/>
          </w:tcPr>
          <w:p>
            <w:pPr>
              <w:spacing w:after="0"/>
              <w:rPr>
                <w:sz w:val="12"/>
                <w:szCs w:val="12"/>
                <w:color w:val="auto"/>
              </w:rPr>
            </w:pPr>
          </w:p>
        </w:tc>
        <w:tc>
          <w:tcPr>
            <w:tcW w:w="1280" w:type="dxa"/>
            <w:vAlign w:val="bottom"/>
            <w:shd w:val="clear" w:color="auto" w:fill="CCECFF"/>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Overseen</w:t>
            </w:r>
          </w:p>
        </w:tc>
        <w:tc>
          <w:tcPr>
            <w:tcW w:w="1220" w:type="dxa"/>
            <w:vAlign w:val="bottom"/>
            <w:shd w:val="clear" w:color="auto" w:fill="CCECFF"/>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Held by</w:t>
            </w:r>
          </w:p>
        </w:tc>
        <w:tc>
          <w:tcPr>
            <w:tcW w:w="0" w:type="dxa"/>
            <w:vAlign w:val="bottom"/>
          </w:tcPr>
          <w:p>
            <w:pPr>
              <w:spacing w:after="0"/>
              <w:rPr>
                <w:sz w:val="1"/>
                <w:szCs w:val="1"/>
                <w:color w:val="auto"/>
              </w:rPr>
            </w:pPr>
          </w:p>
        </w:tc>
      </w:tr>
      <w:tr>
        <w:trPr>
          <w:trHeight w:val="162"/>
        </w:trPr>
        <w:tc>
          <w:tcPr>
            <w:tcW w:w="1320" w:type="dxa"/>
            <w:vAlign w:val="bottom"/>
            <w:shd w:val="clear" w:color="auto" w:fill="CCECFF"/>
          </w:tcPr>
          <w:p>
            <w:pPr>
              <w:ind w:left="100"/>
              <w:spacing w:after="0" w:line="162" w:lineRule="exact"/>
              <w:rPr>
                <w:sz w:val="20"/>
                <w:szCs w:val="20"/>
                <w:color w:val="auto"/>
              </w:rPr>
            </w:pPr>
            <w:r>
              <w:rPr>
                <w:rFonts w:ascii="Times New Roman" w:cs="Times New Roman" w:eastAsia="Times New Roman" w:hAnsi="Times New Roman"/>
                <w:sz w:val="16"/>
                <w:szCs w:val="16"/>
                <w:b w:val="1"/>
                <w:bCs w:val="1"/>
                <w:color w:val="auto"/>
              </w:rPr>
              <w:t>Address(1) and</w:t>
            </w:r>
          </w:p>
        </w:tc>
        <w:tc>
          <w:tcPr>
            <w:tcW w:w="1500" w:type="dxa"/>
            <w:vAlign w:val="bottom"/>
            <w:shd w:val="clear" w:color="auto" w:fill="CCECFF"/>
          </w:tcPr>
          <w:p>
            <w:pPr>
              <w:ind w:left="140"/>
              <w:spacing w:after="0" w:line="162" w:lineRule="exact"/>
              <w:rPr>
                <w:sz w:val="20"/>
                <w:szCs w:val="20"/>
                <w:color w:val="auto"/>
              </w:rPr>
            </w:pPr>
            <w:r>
              <w:rPr>
                <w:rFonts w:ascii="Times New Roman" w:cs="Times New Roman" w:eastAsia="Times New Roman" w:hAnsi="Times New Roman"/>
                <w:sz w:val="16"/>
                <w:szCs w:val="16"/>
                <w:b w:val="1"/>
                <w:bCs w:val="1"/>
                <w:color w:val="auto"/>
              </w:rPr>
              <w:t>and Length of</w:t>
            </w:r>
          </w:p>
        </w:tc>
        <w:tc>
          <w:tcPr>
            <w:tcW w:w="5840" w:type="dxa"/>
            <w:vAlign w:val="bottom"/>
            <w:gridSpan w:val="2"/>
            <w:vMerge w:val="restart"/>
            <w:shd w:val="clear" w:color="auto" w:fill="CCECFF"/>
          </w:tcPr>
          <w:p>
            <w:pPr>
              <w:ind w:left="500"/>
              <w:spacing w:after="0"/>
              <w:rPr>
                <w:sz w:val="20"/>
                <w:szCs w:val="20"/>
                <w:color w:val="auto"/>
              </w:rPr>
            </w:pPr>
            <w:r>
              <w:rPr>
                <w:rFonts w:ascii="Times New Roman" w:cs="Times New Roman" w:eastAsia="Times New Roman" w:hAnsi="Times New Roman"/>
                <w:sz w:val="16"/>
                <w:szCs w:val="16"/>
                <w:b w:val="1"/>
                <w:bCs w:val="1"/>
                <w:color w:val="auto"/>
              </w:rPr>
              <w:t>Position(s) Held with Fund, Principal Occupation and Other Business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by Director or</w:t>
            </w:r>
          </w:p>
        </w:tc>
        <w:tc>
          <w:tcPr>
            <w:tcW w:w="1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or</w:t>
            </w:r>
          </w:p>
        </w:tc>
        <w:tc>
          <w:tcPr>
            <w:tcW w:w="0" w:type="dxa"/>
            <w:vAlign w:val="bottom"/>
          </w:tcPr>
          <w:p>
            <w:pPr>
              <w:spacing w:after="0"/>
              <w:rPr>
                <w:sz w:val="1"/>
                <w:szCs w:val="1"/>
                <w:color w:val="auto"/>
              </w:rPr>
            </w:pPr>
          </w:p>
        </w:tc>
      </w:tr>
      <w:tr>
        <w:trPr>
          <w:trHeight w:val="92"/>
        </w:trPr>
        <w:tc>
          <w:tcPr>
            <w:tcW w:w="1320" w:type="dxa"/>
            <w:vAlign w:val="bottom"/>
            <w:vMerge w:val="restart"/>
            <w:shd w:val="clear" w:color="auto" w:fill="CCECFF"/>
          </w:tcPr>
          <w:p>
            <w:pPr>
              <w:ind w:left="100"/>
              <w:spacing w:after="0"/>
              <w:rPr>
                <w:sz w:val="20"/>
                <w:szCs w:val="20"/>
                <w:color w:val="auto"/>
              </w:rPr>
            </w:pPr>
            <w:r>
              <w:rPr>
                <w:rFonts w:ascii="Times New Roman" w:cs="Times New Roman" w:eastAsia="Times New Roman" w:hAnsi="Times New Roman"/>
                <w:sz w:val="16"/>
                <w:szCs w:val="16"/>
                <w:b w:val="1"/>
                <w:bCs w:val="1"/>
                <w:color w:val="auto"/>
              </w:rPr>
              <w:t>Age</w:t>
            </w:r>
          </w:p>
        </w:tc>
        <w:tc>
          <w:tcPr>
            <w:tcW w:w="1500" w:type="dxa"/>
            <w:vAlign w:val="bottom"/>
            <w:vMerge w:val="restart"/>
            <w:shd w:val="clear" w:color="auto" w:fill="CCECFF"/>
          </w:tcPr>
          <w:p>
            <w:pPr>
              <w:ind w:left="140"/>
              <w:spacing w:after="0"/>
              <w:rPr>
                <w:sz w:val="20"/>
                <w:szCs w:val="20"/>
                <w:color w:val="auto"/>
              </w:rPr>
            </w:pPr>
            <w:r>
              <w:rPr>
                <w:rFonts w:ascii="Times New Roman" w:cs="Times New Roman" w:eastAsia="Times New Roman" w:hAnsi="Times New Roman"/>
                <w:sz w:val="16"/>
                <w:szCs w:val="16"/>
                <w:b w:val="1"/>
                <w:bCs w:val="1"/>
                <w:color w:val="auto"/>
              </w:rPr>
              <w:t>Time Served</w:t>
            </w:r>
          </w:p>
        </w:tc>
        <w:tc>
          <w:tcPr>
            <w:tcW w:w="5840" w:type="dxa"/>
            <w:vAlign w:val="bottom"/>
            <w:gridSpan w:val="2"/>
            <w:vMerge w:val="continue"/>
            <w:shd w:val="clear" w:color="auto" w:fill="CCECFF"/>
          </w:tcPr>
          <w:p>
            <w:pPr>
              <w:spacing w:after="0"/>
              <w:rPr>
                <w:sz w:val="8"/>
                <w:szCs w:val="8"/>
                <w:color w:val="auto"/>
              </w:rPr>
            </w:pPr>
          </w:p>
        </w:tc>
        <w:tc>
          <w:tcPr>
            <w:tcW w:w="13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Nominees for</w:t>
            </w:r>
          </w:p>
        </w:tc>
        <w:tc>
          <w:tcPr>
            <w:tcW w:w="1220" w:type="dxa"/>
            <w:vAlign w:val="bottom"/>
            <w:vMerge w:val="restart"/>
            <w:shd w:val="clear" w:color="auto" w:fill="CCECFF"/>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Nominee for</w:t>
            </w:r>
          </w:p>
        </w:tc>
        <w:tc>
          <w:tcPr>
            <w:tcW w:w="0" w:type="dxa"/>
            <w:vAlign w:val="bottom"/>
          </w:tcPr>
          <w:p>
            <w:pPr>
              <w:spacing w:after="0"/>
              <w:rPr>
                <w:sz w:val="1"/>
                <w:szCs w:val="1"/>
                <w:color w:val="auto"/>
              </w:rPr>
            </w:pPr>
          </w:p>
        </w:tc>
      </w:tr>
      <w:tr>
        <w:trPr>
          <w:trHeight w:val="45"/>
        </w:trPr>
        <w:tc>
          <w:tcPr>
            <w:tcW w:w="1320" w:type="dxa"/>
            <w:vAlign w:val="bottom"/>
            <w:vMerge w:val="continue"/>
            <w:shd w:val="clear" w:color="auto" w:fill="CCECFF"/>
          </w:tcPr>
          <w:p>
            <w:pPr>
              <w:spacing w:after="0"/>
              <w:rPr>
                <w:sz w:val="3"/>
                <w:szCs w:val="3"/>
                <w:color w:val="auto"/>
              </w:rPr>
            </w:pPr>
          </w:p>
        </w:tc>
        <w:tc>
          <w:tcPr>
            <w:tcW w:w="1500" w:type="dxa"/>
            <w:vAlign w:val="bottom"/>
            <w:vMerge w:val="continue"/>
            <w:shd w:val="clear" w:color="auto" w:fill="CCECFF"/>
          </w:tcPr>
          <w:p>
            <w:pPr>
              <w:spacing w:after="0"/>
              <w:rPr>
                <w:sz w:val="3"/>
                <w:szCs w:val="3"/>
                <w:color w:val="auto"/>
              </w:rPr>
            </w:pPr>
          </w:p>
        </w:tc>
        <w:tc>
          <w:tcPr>
            <w:tcW w:w="4560" w:type="dxa"/>
            <w:vAlign w:val="bottom"/>
            <w:vMerge w:val="restart"/>
            <w:shd w:val="clear" w:color="auto" w:fill="CCECFF"/>
          </w:tcPr>
          <w:p>
            <w:pPr>
              <w:ind w:left="1560"/>
              <w:spacing w:after="0"/>
              <w:rPr>
                <w:sz w:val="20"/>
                <w:szCs w:val="20"/>
                <w:color w:val="auto"/>
              </w:rPr>
            </w:pPr>
            <w:r>
              <w:rPr>
                <w:rFonts w:ascii="Times New Roman" w:cs="Times New Roman" w:eastAsia="Times New Roman" w:hAnsi="Times New Roman"/>
                <w:sz w:val="16"/>
                <w:szCs w:val="16"/>
                <w:b w:val="1"/>
                <w:bCs w:val="1"/>
                <w:color w:val="auto"/>
              </w:rPr>
              <w:t>Experience During the Past Five Years</w:t>
            </w:r>
          </w:p>
        </w:tc>
        <w:tc>
          <w:tcPr>
            <w:tcW w:w="1280" w:type="dxa"/>
            <w:vAlign w:val="bottom"/>
            <w:shd w:val="clear" w:color="auto" w:fill="CCECFF"/>
          </w:tcPr>
          <w:p>
            <w:pPr>
              <w:spacing w:after="0"/>
              <w:rPr>
                <w:sz w:val="3"/>
                <w:szCs w:val="3"/>
                <w:color w:val="auto"/>
              </w:rPr>
            </w:pPr>
          </w:p>
        </w:tc>
        <w:tc>
          <w:tcPr>
            <w:tcW w:w="1360" w:type="dxa"/>
            <w:vAlign w:val="bottom"/>
            <w:vMerge w:val="continue"/>
          </w:tcPr>
          <w:p>
            <w:pPr>
              <w:spacing w:after="0"/>
              <w:rPr>
                <w:sz w:val="3"/>
                <w:szCs w:val="3"/>
                <w:color w:val="auto"/>
              </w:rPr>
            </w:pPr>
          </w:p>
        </w:tc>
        <w:tc>
          <w:tcPr>
            <w:tcW w:w="1220" w:type="dxa"/>
            <w:vAlign w:val="bottom"/>
            <w:vMerge w:val="continue"/>
            <w:shd w:val="clear" w:color="auto" w:fill="CCECFF"/>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320" w:type="dxa"/>
            <w:vAlign w:val="bottom"/>
            <w:tcBorders>
              <w:bottom w:val="single" w:sz="8" w:color="CCECFF"/>
            </w:tcBorders>
            <w:vMerge w:val="continue"/>
            <w:shd w:val="clear" w:color="auto" w:fill="CCECFF"/>
          </w:tcPr>
          <w:p>
            <w:pPr>
              <w:spacing w:after="0"/>
              <w:rPr>
                <w:sz w:val="15"/>
                <w:szCs w:val="15"/>
                <w:color w:val="auto"/>
              </w:rPr>
            </w:pPr>
          </w:p>
        </w:tc>
        <w:tc>
          <w:tcPr>
            <w:tcW w:w="1500" w:type="dxa"/>
            <w:vAlign w:val="bottom"/>
            <w:tcBorders>
              <w:bottom w:val="single" w:sz="8" w:color="CCECFF"/>
            </w:tcBorders>
            <w:vMerge w:val="continue"/>
            <w:shd w:val="clear" w:color="auto" w:fill="CCECFF"/>
          </w:tcPr>
          <w:p>
            <w:pPr>
              <w:spacing w:after="0"/>
              <w:rPr>
                <w:sz w:val="15"/>
                <w:szCs w:val="15"/>
                <w:color w:val="auto"/>
              </w:rPr>
            </w:pPr>
          </w:p>
        </w:tc>
        <w:tc>
          <w:tcPr>
            <w:tcW w:w="4560" w:type="dxa"/>
            <w:vAlign w:val="bottom"/>
            <w:tcBorders>
              <w:bottom w:val="single" w:sz="8" w:color="CCECFF"/>
            </w:tcBorders>
            <w:vMerge w:val="continue"/>
            <w:shd w:val="clear" w:color="auto" w:fill="CCECFF"/>
          </w:tcPr>
          <w:p>
            <w:pPr>
              <w:spacing w:after="0"/>
              <w:rPr>
                <w:sz w:val="15"/>
                <w:szCs w:val="15"/>
                <w:color w:val="auto"/>
              </w:rPr>
            </w:pPr>
          </w:p>
        </w:tc>
        <w:tc>
          <w:tcPr>
            <w:tcW w:w="1280" w:type="dxa"/>
            <w:vAlign w:val="bottom"/>
            <w:tcBorders>
              <w:bottom w:val="single" w:sz="8" w:color="CCECFF"/>
            </w:tcBorders>
            <w:shd w:val="clear" w:color="auto" w:fill="CCECFF"/>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Director(2)</w:t>
            </w:r>
          </w:p>
        </w:tc>
        <w:tc>
          <w:tcPr>
            <w:tcW w:w="12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0" w:type="dxa"/>
            <w:vAlign w:val="bottom"/>
          </w:tcPr>
          <w:p>
            <w:pPr>
              <w:spacing w:after="0"/>
              <w:rPr>
                <w:sz w:val="1"/>
                <w:szCs w:val="1"/>
                <w:color w:val="auto"/>
              </w:rPr>
            </w:pPr>
          </w:p>
        </w:tc>
      </w:tr>
      <w:tr>
        <w:trPr>
          <w:trHeight w:val="182"/>
        </w:trPr>
        <w:tc>
          <w:tcPr>
            <w:tcW w:w="1320" w:type="dxa"/>
            <w:vAlign w:val="bottom"/>
            <w:tcBorders>
              <w:top w:val="single" w:sz="8" w:color="auto"/>
            </w:tcBorders>
          </w:tcPr>
          <w:p>
            <w:pPr>
              <w:ind w:left="100"/>
              <w:spacing w:after="0" w:line="182" w:lineRule="exact"/>
              <w:rPr>
                <w:sz w:val="20"/>
                <w:szCs w:val="20"/>
                <w:color w:val="auto"/>
              </w:rPr>
            </w:pPr>
            <w:r>
              <w:rPr>
                <w:rFonts w:ascii="Times New Roman" w:cs="Times New Roman" w:eastAsia="Times New Roman" w:hAnsi="Times New Roman"/>
                <w:sz w:val="16"/>
                <w:szCs w:val="16"/>
                <w:color w:val="auto"/>
              </w:rPr>
              <w:t>Kate M. Fitta</w:t>
            </w:r>
          </w:p>
        </w:tc>
        <w:tc>
          <w:tcPr>
            <w:tcW w:w="1500" w:type="dxa"/>
            <w:vAlign w:val="bottom"/>
            <w:tcBorders>
              <w:top w:val="single" w:sz="8" w:color="auto"/>
            </w:tcBorders>
          </w:tcPr>
          <w:p>
            <w:pPr>
              <w:ind w:left="140"/>
              <w:spacing w:after="0" w:line="182" w:lineRule="exact"/>
              <w:rPr>
                <w:sz w:val="20"/>
                <w:szCs w:val="20"/>
                <w:color w:val="auto"/>
              </w:rPr>
            </w:pPr>
            <w:r>
              <w:rPr>
                <w:rFonts w:ascii="Times New Roman" w:cs="Times New Roman" w:eastAsia="Times New Roman" w:hAnsi="Times New Roman"/>
                <w:sz w:val="16"/>
                <w:szCs w:val="16"/>
                <w:color w:val="auto"/>
              </w:rPr>
              <w:t>Director since</w:t>
            </w:r>
          </w:p>
        </w:tc>
        <w:tc>
          <w:tcPr>
            <w:tcW w:w="4560" w:type="dxa"/>
            <w:vAlign w:val="bottom"/>
            <w:tcBorders>
              <w:top w:val="single" w:sz="8" w:color="auto"/>
            </w:tcBorders>
          </w:tcPr>
          <w:p>
            <w:pPr>
              <w:ind w:left="140"/>
              <w:spacing w:after="0" w:line="182" w:lineRule="exact"/>
              <w:rPr>
                <w:sz w:val="20"/>
                <w:szCs w:val="20"/>
                <w:color w:val="auto"/>
              </w:rPr>
            </w:pPr>
            <w:r>
              <w:rPr>
                <w:rFonts w:ascii="Times New Roman" w:cs="Times New Roman" w:eastAsia="Times New Roman" w:hAnsi="Times New Roman"/>
                <w:sz w:val="16"/>
                <w:szCs w:val="16"/>
                <w:color w:val="auto"/>
              </w:rPr>
              <w:t>Ms. Fitta currently serves as Principal of Burren Green, the</w:t>
            </w:r>
          </w:p>
        </w:tc>
        <w:tc>
          <w:tcPr>
            <w:tcW w:w="1280" w:type="dxa"/>
            <w:vAlign w:val="bottom"/>
            <w:tcBorders>
              <w:top w:val="single" w:sz="8" w:color="auto"/>
            </w:tcBorders>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management and</w:t>
            </w:r>
          </w:p>
        </w:tc>
        <w:tc>
          <w:tcPr>
            <w:tcW w:w="1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(3)(4)(5)</w:t>
            </w:r>
          </w:p>
        </w:tc>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2021; term expires</w:t>
            </w: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technology consulting practice she founded in 2015.  From 2012 to 2015, Ms. Fitta</w:t>
            </w:r>
          </w:p>
        </w:tc>
        <w:tc>
          <w:tcPr>
            <w:tcW w:w="1360" w:type="dxa"/>
            <w:vAlign w:val="bottom"/>
            <w:vMerge w:val="restart"/>
          </w:tcPr>
          <w:p>
            <w:pPr>
              <w:jc w:val="right"/>
              <w:ind w:right="568"/>
              <w:spacing w:after="0"/>
              <w:rPr>
                <w:sz w:val="20"/>
                <w:szCs w:val="20"/>
                <w:color w:val="auto"/>
              </w:rPr>
            </w:pPr>
            <w:r>
              <w:rPr>
                <w:rFonts w:ascii="Times New Roman" w:cs="Times New Roman" w:eastAsia="Times New Roman" w:hAnsi="Times New Roman"/>
                <w:sz w:val="16"/>
                <w:szCs w:val="16"/>
                <w:color w:val="auto"/>
              </w:rPr>
              <w:t>1</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54"/>
        </w:trPr>
        <w:tc>
          <w:tcPr>
            <w:tcW w:w="1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Age: 55</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45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served as Global Head, Business Planning &amp; Technology for</w:t>
            </w:r>
          </w:p>
        </w:tc>
        <w:tc>
          <w:tcPr>
            <w:tcW w:w="12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Barclays Global</w:t>
            </w:r>
          </w:p>
        </w:tc>
        <w:tc>
          <w:tcPr>
            <w:tcW w:w="136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32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456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Investment Banking Division. From 2008 to 2012, Ms. Fitta served as EMEA Head,</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Business Planning &amp; Technology for Barclays Global Banking Division, leading key</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aspects of business and technology integration across EMEA and APAC following</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Lehman Brothers' bankruptcy and acquisition. Ms. Fitta also worked at Lehman</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Brothers  from  2007  to  2008  as  Deputy  Global  Head,  Business  Planning  &amp;</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Technology  where  she  managed  business  and  technical  staff  across  various</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geographies and architected the division’s first IT Governance Council. During her</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tenure as Chief Integration Officer, Criminal Justice for the New York City’s Mayor’s</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Office from 2003 to 2007, she led strategic planning and execution for technology</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integration across 17 criminal justice agencies in New York City and New York State.</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From 2002 to 2003, Ms. Fitta also worked as a functional manager on engagements</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within the Public Sector &amp; Health Care Practices at Deloitte Consulting. Since 2002,</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through various consulting, operating and governance-related roles across sectors and</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geographies, Ms. Fitta has spearheaded an array of programs that fueled strategic</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business transformations and addressed myriad compliance, audit, risk and regulatory</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matters. Ms. Fitta earned her MBA from Columbia Business School and her Bachelor</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of Arts in Classics cum laude from Harvard University. Ms. Fitta is NACD (National</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Association of Corporate Directors) Directorship Certified™ and, in 2025, received a</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CERT Certificate in Cyber Oversight through the NACD’s Cyber Oversight Program.</w:t>
            </w: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Ms. Fitta’s vast management experience and expertise across various sectors and</w:t>
            </w:r>
          </w:p>
        </w:tc>
        <w:tc>
          <w:tcPr>
            <w:tcW w:w="1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industries, including financial services, qualifies her for service on our board of</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directors.  Ms.  Fitta  is  a  strategist  and  results-oriented  problem-solver  whose</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understanding of operations, technology and risk management enhances the diverse</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skillset and composition of our board of directors.</w:t>
            </w: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50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Our Current Directors</w:t>
            </w: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700" w:type="dxa"/>
            <w:vAlign w:val="bottom"/>
            <w:gridSpan w:val="2"/>
          </w:tcPr>
          <w:p>
            <w:pPr>
              <w:spacing w:after="0"/>
              <w:rPr>
                <w:sz w:val="4"/>
                <w:szCs w:val="4"/>
                <w:color w:val="auto"/>
              </w:rPr>
            </w:pPr>
          </w:p>
        </w:tc>
        <w:tc>
          <w:tcPr>
            <w:tcW w:w="45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00" w:type="dxa"/>
            <w:vAlign w:val="bottom"/>
            <w:gridSpan w:val="2"/>
            <w:shd w:val="clear" w:color="auto" w:fill="CCECFF"/>
          </w:tcPr>
          <w:p>
            <w:pPr>
              <w:ind w:left="100"/>
              <w:spacing w:after="0" w:line="162" w:lineRule="exact"/>
              <w:rPr>
                <w:sz w:val="20"/>
                <w:szCs w:val="20"/>
                <w:color w:val="auto"/>
              </w:rPr>
            </w:pPr>
            <w:r>
              <w:rPr>
                <w:rFonts w:ascii="Times New Roman" w:cs="Times New Roman" w:eastAsia="Times New Roman" w:hAnsi="Times New Roman"/>
                <w:sz w:val="18"/>
                <w:szCs w:val="18"/>
                <w:b w:val="1"/>
                <w:bCs w:val="1"/>
                <w:color w:val="auto"/>
              </w:rPr>
              <w:t>Independent Director</w:t>
            </w:r>
          </w:p>
        </w:tc>
        <w:tc>
          <w:tcPr>
            <w:tcW w:w="4500" w:type="dxa"/>
            <w:vAlign w:val="bottom"/>
            <w:shd w:val="clear" w:color="auto" w:fill="CCECFF"/>
          </w:tcPr>
          <w:p>
            <w:pPr>
              <w:spacing w:after="0"/>
              <w:rPr>
                <w:sz w:val="14"/>
                <w:szCs w:val="14"/>
                <w:color w:val="auto"/>
              </w:rPr>
            </w:pPr>
          </w:p>
        </w:tc>
        <w:tc>
          <w:tcPr>
            <w:tcW w:w="1440" w:type="dxa"/>
            <w:vAlign w:val="bottom"/>
            <w:shd w:val="clear" w:color="auto" w:fill="CCECFF"/>
          </w:tcPr>
          <w:p>
            <w:pPr>
              <w:spacing w:after="0"/>
              <w:rPr>
                <w:sz w:val="14"/>
                <w:szCs w:val="14"/>
                <w:color w:val="auto"/>
              </w:rPr>
            </w:pPr>
          </w:p>
        </w:tc>
        <w:tc>
          <w:tcPr>
            <w:tcW w:w="1380" w:type="dxa"/>
            <w:vAlign w:val="bottom"/>
            <w:vMerge w:val="continue"/>
          </w:tcPr>
          <w:p>
            <w:pPr>
              <w:spacing w:after="0"/>
              <w:rPr>
                <w:sz w:val="14"/>
                <w:szCs w:val="14"/>
                <w:color w:val="auto"/>
              </w:rPr>
            </w:pPr>
          </w:p>
        </w:tc>
        <w:tc>
          <w:tcPr>
            <w:tcW w:w="12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260" w:type="dxa"/>
            <w:vAlign w:val="bottom"/>
            <w:shd w:val="clear" w:color="auto" w:fill="CCECFF"/>
          </w:tcPr>
          <w:p>
            <w:pPr>
              <w:spacing w:after="0"/>
              <w:rPr>
                <w:sz w:val="7"/>
                <w:szCs w:val="7"/>
                <w:color w:val="auto"/>
              </w:rPr>
            </w:pPr>
          </w:p>
        </w:tc>
        <w:tc>
          <w:tcPr>
            <w:tcW w:w="1440" w:type="dxa"/>
            <w:vAlign w:val="bottom"/>
            <w:shd w:val="clear" w:color="auto" w:fill="CCECFF"/>
          </w:tcPr>
          <w:p>
            <w:pPr>
              <w:spacing w:after="0"/>
              <w:rPr>
                <w:sz w:val="7"/>
                <w:szCs w:val="7"/>
                <w:color w:val="auto"/>
              </w:rPr>
            </w:pPr>
          </w:p>
        </w:tc>
        <w:tc>
          <w:tcPr>
            <w:tcW w:w="4500" w:type="dxa"/>
            <w:vAlign w:val="bottom"/>
            <w:shd w:val="clear" w:color="auto" w:fill="CCECFF"/>
          </w:tcPr>
          <w:p>
            <w:pPr>
              <w:spacing w:after="0"/>
              <w:rPr>
                <w:sz w:val="7"/>
                <w:szCs w:val="7"/>
                <w:color w:val="auto"/>
              </w:rPr>
            </w:pPr>
          </w:p>
        </w:tc>
        <w:tc>
          <w:tcPr>
            <w:tcW w:w="1440" w:type="dxa"/>
            <w:vAlign w:val="bottom"/>
            <w:shd w:val="clear" w:color="auto" w:fill="CCECFF"/>
          </w:tcPr>
          <w:p>
            <w:pPr>
              <w:spacing w:after="0"/>
              <w:rPr>
                <w:sz w:val="7"/>
                <w:szCs w:val="7"/>
                <w:color w:val="auto"/>
              </w:rPr>
            </w:pPr>
          </w:p>
        </w:tc>
        <w:tc>
          <w:tcPr>
            <w:tcW w:w="1380" w:type="dxa"/>
            <w:vAlign w:val="bottom"/>
            <w:vMerge w:val="restart"/>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Portfolios in Fund</w:t>
            </w:r>
          </w:p>
        </w:tc>
        <w:tc>
          <w:tcPr>
            <w:tcW w:w="122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9"/>
        </w:trPr>
        <w:tc>
          <w:tcPr>
            <w:tcW w:w="7200" w:type="dxa"/>
            <w:vAlign w:val="bottom"/>
            <w:gridSpan w:val="3"/>
            <w:vMerge w:val="restart"/>
          </w:tcPr>
          <w:p>
            <w:pPr>
              <w:ind w:left="100"/>
              <w:spacing w:after="0" w:line="175" w:lineRule="exact"/>
              <w:rPr>
                <w:sz w:val="20"/>
                <w:szCs w:val="20"/>
                <w:color w:val="auto"/>
              </w:rPr>
            </w:pPr>
            <w:r>
              <w:rPr>
                <w:rFonts w:ascii="Times New Roman" w:cs="Times New Roman" w:eastAsia="Times New Roman" w:hAnsi="Times New Roman"/>
                <w:sz w:val="16"/>
                <w:szCs w:val="16"/>
                <w:color w:val="auto"/>
              </w:rPr>
              <w:t>Ms. Griggs is considered independent for purposes of the 1940 Act.</w:t>
            </w:r>
          </w:p>
        </w:tc>
        <w:tc>
          <w:tcPr>
            <w:tcW w:w="14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1220" w:type="dxa"/>
            <w:vAlign w:val="bottom"/>
            <w:vMerge w:val="continue"/>
            <w:shd w:val="clear" w:color="auto" w:fill="CCEC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7200" w:type="dxa"/>
            <w:vAlign w:val="bottom"/>
            <w:gridSpan w:val="3"/>
            <w:vMerge w:val="continue"/>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Complex Overseen</w:t>
            </w:r>
          </w:p>
        </w:tc>
        <w:tc>
          <w:tcPr>
            <w:tcW w:w="1220" w:type="dxa"/>
            <w:vAlign w:val="bottom"/>
            <w:vMerge w:val="continue"/>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260" w:type="dxa"/>
            <w:vAlign w:val="bottom"/>
            <w:tcBorders>
              <w:bottom w:val="single" w:sz="8" w:color="CCECFF"/>
            </w:tcBorders>
          </w:tcPr>
          <w:p>
            <w:pPr>
              <w:spacing w:after="0"/>
              <w:rPr>
                <w:sz w:val="6"/>
                <w:szCs w:val="6"/>
                <w:color w:val="auto"/>
              </w:rPr>
            </w:pPr>
          </w:p>
        </w:tc>
        <w:tc>
          <w:tcPr>
            <w:tcW w:w="1440" w:type="dxa"/>
            <w:vAlign w:val="bottom"/>
            <w:tcBorders>
              <w:bottom w:val="single" w:sz="8" w:color="CCECFF"/>
            </w:tcBorders>
          </w:tcPr>
          <w:p>
            <w:pPr>
              <w:spacing w:after="0"/>
              <w:rPr>
                <w:sz w:val="6"/>
                <w:szCs w:val="6"/>
                <w:color w:val="auto"/>
              </w:rPr>
            </w:pPr>
          </w:p>
        </w:tc>
        <w:tc>
          <w:tcPr>
            <w:tcW w:w="4500" w:type="dxa"/>
            <w:vAlign w:val="bottom"/>
            <w:tcBorders>
              <w:bottom w:val="single" w:sz="8" w:color="CCECFF"/>
            </w:tcBorders>
          </w:tcPr>
          <w:p>
            <w:pPr>
              <w:spacing w:after="0"/>
              <w:rPr>
                <w:sz w:val="6"/>
                <w:szCs w:val="6"/>
                <w:color w:val="auto"/>
              </w:rPr>
            </w:pPr>
          </w:p>
        </w:tc>
        <w:tc>
          <w:tcPr>
            <w:tcW w:w="1440" w:type="dxa"/>
            <w:vAlign w:val="bottom"/>
            <w:tcBorders>
              <w:bottom w:val="single" w:sz="8" w:color="CCECFF"/>
            </w:tcBorders>
          </w:tcPr>
          <w:p>
            <w:pPr>
              <w:spacing w:after="0"/>
              <w:rPr>
                <w:sz w:val="6"/>
                <w:szCs w:val="6"/>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by Director or</w:t>
            </w:r>
          </w:p>
        </w:tc>
        <w:tc>
          <w:tcPr>
            <w:tcW w:w="1220" w:type="dxa"/>
            <w:vAlign w:val="bottom"/>
            <w:tcBorders>
              <w:bottom w:val="single" w:sz="8" w:color="CCECFF"/>
            </w:tcBorders>
            <w:shd w:val="clear" w:color="auto" w:fill="CCECFF"/>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Directorships</w:t>
            </w:r>
          </w:p>
        </w:tc>
        <w:tc>
          <w:tcPr>
            <w:tcW w:w="0" w:type="dxa"/>
            <w:vAlign w:val="bottom"/>
          </w:tcPr>
          <w:p>
            <w:pPr>
              <w:spacing w:after="0"/>
              <w:rPr>
                <w:sz w:val="1"/>
                <w:szCs w:val="1"/>
                <w:color w:val="auto"/>
              </w:rPr>
            </w:pPr>
          </w:p>
        </w:tc>
      </w:tr>
      <w:tr>
        <w:trPr>
          <w:trHeight w:val="146"/>
        </w:trPr>
        <w:tc>
          <w:tcPr>
            <w:tcW w:w="1260" w:type="dxa"/>
            <w:vAlign w:val="bottom"/>
            <w:shd w:val="clear" w:color="auto" w:fill="CCECFF"/>
          </w:tcPr>
          <w:p>
            <w:pPr>
              <w:ind w:left="100"/>
              <w:spacing w:after="0" w:line="146" w:lineRule="exact"/>
              <w:rPr>
                <w:sz w:val="20"/>
                <w:szCs w:val="20"/>
                <w:color w:val="auto"/>
              </w:rPr>
            </w:pPr>
            <w:r>
              <w:rPr>
                <w:rFonts w:ascii="Times New Roman" w:cs="Times New Roman" w:eastAsia="Times New Roman" w:hAnsi="Times New Roman"/>
                <w:sz w:val="16"/>
                <w:szCs w:val="16"/>
                <w:b w:val="1"/>
                <w:bCs w:val="1"/>
                <w:color w:val="auto"/>
              </w:rPr>
              <w:t>Name,</w:t>
            </w:r>
          </w:p>
        </w:tc>
        <w:tc>
          <w:tcPr>
            <w:tcW w:w="1440" w:type="dxa"/>
            <w:vAlign w:val="bottom"/>
            <w:shd w:val="clear" w:color="auto" w:fill="CCECFF"/>
          </w:tcPr>
          <w:p>
            <w:pPr>
              <w:ind w:left="80"/>
              <w:spacing w:after="0" w:line="146" w:lineRule="exact"/>
              <w:rPr>
                <w:sz w:val="20"/>
                <w:szCs w:val="20"/>
                <w:color w:val="auto"/>
              </w:rPr>
            </w:pPr>
            <w:r>
              <w:rPr>
                <w:rFonts w:ascii="Times New Roman" w:cs="Times New Roman" w:eastAsia="Times New Roman" w:hAnsi="Times New Roman"/>
                <w:sz w:val="16"/>
                <w:szCs w:val="16"/>
                <w:b w:val="1"/>
                <w:bCs w:val="1"/>
                <w:color w:val="auto"/>
              </w:rPr>
              <w:t>Term of Office</w:t>
            </w:r>
          </w:p>
        </w:tc>
        <w:tc>
          <w:tcPr>
            <w:tcW w:w="4500" w:type="dxa"/>
            <w:vAlign w:val="bottom"/>
            <w:shd w:val="clear" w:color="auto" w:fill="CCECFF"/>
          </w:tcPr>
          <w:p>
            <w:pPr>
              <w:spacing w:after="0"/>
              <w:rPr>
                <w:sz w:val="12"/>
                <w:szCs w:val="12"/>
                <w:color w:val="auto"/>
              </w:rPr>
            </w:pPr>
          </w:p>
        </w:tc>
        <w:tc>
          <w:tcPr>
            <w:tcW w:w="1440" w:type="dxa"/>
            <w:vAlign w:val="bottom"/>
            <w:shd w:val="clear" w:color="auto" w:fill="CCECFF"/>
          </w:tcPr>
          <w:p>
            <w:pPr>
              <w:spacing w:after="0"/>
              <w:rPr>
                <w:sz w:val="12"/>
                <w:szCs w:val="12"/>
                <w:color w:val="auto"/>
              </w:rPr>
            </w:pPr>
          </w:p>
        </w:tc>
        <w:tc>
          <w:tcPr>
            <w:tcW w:w="1380" w:type="dxa"/>
            <w:vAlign w:val="bottom"/>
            <w:vMerge w:val="continue"/>
          </w:tcPr>
          <w:p>
            <w:pPr>
              <w:spacing w:after="0"/>
              <w:rPr>
                <w:sz w:val="12"/>
                <w:szCs w:val="12"/>
                <w:color w:val="auto"/>
              </w:rPr>
            </w:pPr>
          </w:p>
        </w:tc>
        <w:tc>
          <w:tcPr>
            <w:tcW w:w="1220" w:type="dxa"/>
            <w:vAlign w:val="bottom"/>
            <w:shd w:val="clear" w:color="auto" w:fill="CCECFF"/>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Held by</w:t>
            </w:r>
          </w:p>
        </w:tc>
        <w:tc>
          <w:tcPr>
            <w:tcW w:w="0" w:type="dxa"/>
            <w:vAlign w:val="bottom"/>
          </w:tcPr>
          <w:p>
            <w:pPr>
              <w:spacing w:after="0"/>
              <w:rPr>
                <w:sz w:val="1"/>
                <w:szCs w:val="1"/>
                <w:color w:val="auto"/>
              </w:rPr>
            </w:pPr>
          </w:p>
        </w:tc>
      </w:tr>
      <w:tr>
        <w:trPr>
          <w:trHeight w:val="56"/>
        </w:trPr>
        <w:tc>
          <w:tcPr>
            <w:tcW w:w="1260" w:type="dxa"/>
            <w:vAlign w:val="bottom"/>
            <w:vMerge w:val="restart"/>
            <w:shd w:val="clear" w:color="auto" w:fill="CCECFF"/>
          </w:tcPr>
          <w:p>
            <w:pPr>
              <w:ind w:left="100"/>
              <w:spacing w:after="0" w:line="162" w:lineRule="exact"/>
              <w:rPr>
                <w:sz w:val="20"/>
                <w:szCs w:val="20"/>
                <w:color w:val="auto"/>
              </w:rPr>
            </w:pPr>
            <w:r>
              <w:rPr>
                <w:rFonts w:ascii="Times New Roman" w:cs="Times New Roman" w:eastAsia="Times New Roman" w:hAnsi="Times New Roman"/>
                <w:sz w:val="16"/>
                <w:szCs w:val="16"/>
                <w:b w:val="1"/>
                <w:bCs w:val="1"/>
                <w:color w:val="auto"/>
              </w:rPr>
              <w:t>Address(1)</w:t>
            </w:r>
          </w:p>
        </w:tc>
        <w:tc>
          <w:tcPr>
            <w:tcW w:w="1440" w:type="dxa"/>
            <w:vAlign w:val="bottom"/>
            <w:vMerge w:val="restart"/>
            <w:shd w:val="clear" w:color="auto" w:fill="CCECFF"/>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and Length of</w:t>
            </w:r>
          </w:p>
        </w:tc>
        <w:tc>
          <w:tcPr>
            <w:tcW w:w="5940" w:type="dxa"/>
            <w:vAlign w:val="bottom"/>
            <w:gridSpan w:val="2"/>
            <w:vMerge w:val="restart"/>
            <w:shd w:val="clear" w:color="auto" w:fill="CCECFF"/>
          </w:tcPr>
          <w:p>
            <w:pPr>
              <w:ind w:left="140"/>
              <w:spacing w:after="0"/>
              <w:rPr>
                <w:sz w:val="20"/>
                <w:szCs w:val="20"/>
                <w:color w:val="auto"/>
              </w:rPr>
            </w:pPr>
            <w:r>
              <w:rPr>
                <w:rFonts w:ascii="Times New Roman" w:cs="Times New Roman" w:eastAsia="Times New Roman" w:hAnsi="Times New Roman"/>
                <w:sz w:val="16"/>
                <w:szCs w:val="16"/>
                <w:b w:val="1"/>
                <w:bCs w:val="1"/>
                <w:color w:val="auto"/>
              </w:rPr>
              <w:t>Position(s) Held with Fund, Principal Occupation and Other Business Experience</w:t>
            </w:r>
          </w:p>
        </w:tc>
        <w:tc>
          <w:tcPr>
            <w:tcW w:w="1380" w:type="dxa"/>
            <w:vAlign w:val="bottom"/>
          </w:tcPr>
          <w:p>
            <w:pPr>
              <w:jc w:val="center"/>
              <w:spacing w:after="0" w:line="57" w:lineRule="exact"/>
              <w:rPr>
                <w:sz w:val="20"/>
                <w:szCs w:val="20"/>
                <w:color w:val="auto"/>
              </w:rPr>
            </w:pPr>
            <w:r>
              <w:rPr>
                <w:rFonts w:ascii="Times New Roman" w:cs="Times New Roman" w:eastAsia="Times New Roman" w:hAnsi="Times New Roman"/>
                <w:sz w:val="6"/>
                <w:szCs w:val="6"/>
                <w:b w:val="1"/>
                <w:bCs w:val="1"/>
                <w:color w:val="auto"/>
              </w:rPr>
              <w:t>Nominees for</w:t>
            </w:r>
          </w:p>
        </w:tc>
        <w:tc>
          <w:tcPr>
            <w:tcW w:w="122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or</w:t>
            </w:r>
          </w:p>
        </w:tc>
        <w:tc>
          <w:tcPr>
            <w:tcW w:w="0" w:type="dxa"/>
            <w:vAlign w:val="bottom"/>
          </w:tcPr>
          <w:p>
            <w:pPr>
              <w:spacing w:after="0"/>
              <w:rPr>
                <w:sz w:val="1"/>
                <w:szCs w:val="1"/>
                <w:color w:val="auto"/>
              </w:rPr>
            </w:pPr>
          </w:p>
        </w:tc>
      </w:tr>
      <w:tr>
        <w:trPr>
          <w:trHeight w:val="106"/>
        </w:trPr>
        <w:tc>
          <w:tcPr>
            <w:tcW w:w="1260" w:type="dxa"/>
            <w:vAlign w:val="bottom"/>
            <w:vMerge w:val="continue"/>
            <w:shd w:val="clear" w:color="auto" w:fill="CCECFF"/>
          </w:tcPr>
          <w:p>
            <w:pPr>
              <w:spacing w:after="0"/>
              <w:rPr>
                <w:sz w:val="9"/>
                <w:szCs w:val="9"/>
                <w:color w:val="auto"/>
              </w:rPr>
            </w:pPr>
          </w:p>
        </w:tc>
        <w:tc>
          <w:tcPr>
            <w:tcW w:w="1440" w:type="dxa"/>
            <w:vAlign w:val="bottom"/>
            <w:vMerge w:val="continue"/>
            <w:shd w:val="clear" w:color="auto" w:fill="CCECFF"/>
          </w:tcPr>
          <w:p>
            <w:pPr>
              <w:spacing w:after="0"/>
              <w:rPr>
                <w:sz w:val="9"/>
                <w:szCs w:val="9"/>
                <w:color w:val="auto"/>
              </w:rPr>
            </w:pPr>
          </w:p>
        </w:tc>
        <w:tc>
          <w:tcPr>
            <w:tcW w:w="5940" w:type="dxa"/>
            <w:vAlign w:val="bottom"/>
            <w:gridSpan w:val="2"/>
            <w:vMerge w:val="continue"/>
            <w:shd w:val="clear" w:color="auto" w:fill="CCECFF"/>
          </w:tcPr>
          <w:p>
            <w:pPr>
              <w:spacing w:after="0"/>
              <w:rPr>
                <w:sz w:val="9"/>
                <w:szCs w:val="9"/>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Director(2)</w:t>
            </w:r>
          </w:p>
        </w:tc>
        <w:tc>
          <w:tcPr>
            <w:tcW w:w="1220" w:type="dxa"/>
            <w:vAlign w:val="bottom"/>
            <w:vMerge w:val="continue"/>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260" w:type="dxa"/>
            <w:vAlign w:val="bottom"/>
            <w:vMerge w:val="restart"/>
            <w:shd w:val="clear" w:color="auto" w:fill="CCECFF"/>
          </w:tcPr>
          <w:p>
            <w:pPr>
              <w:ind w:left="100"/>
              <w:spacing w:after="0"/>
              <w:rPr>
                <w:sz w:val="20"/>
                <w:szCs w:val="20"/>
                <w:color w:val="auto"/>
              </w:rPr>
            </w:pPr>
            <w:r>
              <w:rPr>
                <w:rFonts w:ascii="Times New Roman" w:cs="Times New Roman" w:eastAsia="Times New Roman" w:hAnsi="Times New Roman"/>
                <w:sz w:val="16"/>
                <w:szCs w:val="16"/>
                <w:b w:val="1"/>
                <w:bCs w:val="1"/>
                <w:color w:val="auto"/>
              </w:rPr>
              <w:t>and Age</w:t>
            </w:r>
          </w:p>
        </w:tc>
        <w:tc>
          <w:tcPr>
            <w:tcW w:w="1440" w:type="dxa"/>
            <w:vAlign w:val="bottom"/>
            <w:vMerge w:val="restart"/>
            <w:shd w:val="clear" w:color="auto" w:fill="CCECFF"/>
          </w:tcPr>
          <w:p>
            <w:pPr>
              <w:ind w:left="80"/>
              <w:spacing w:after="0"/>
              <w:rPr>
                <w:sz w:val="20"/>
                <w:szCs w:val="20"/>
                <w:color w:val="auto"/>
              </w:rPr>
            </w:pPr>
            <w:r>
              <w:rPr>
                <w:rFonts w:ascii="Times New Roman" w:cs="Times New Roman" w:eastAsia="Times New Roman" w:hAnsi="Times New Roman"/>
                <w:sz w:val="16"/>
                <w:szCs w:val="16"/>
                <w:b w:val="1"/>
                <w:bCs w:val="1"/>
                <w:color w:val="auto"/>
              </w:rPr>
              <w:t>Time Served</w:t>
            </w:r>
          </w:p>
        </w:tc>
        <w:tc>
          <w:tcPr>
            <w:tcW w:w="5940" w:type="dxa"/>
            <w:vAlign w:val="bottom"/>
            <w:gridSpan w:val="2"/>
            <w:vMerge w:val="continue"/>
            <w:shd w:val="clear" w:color="auto" w:fill="CCECFF"/>
          </w:tcPr>
          <w:p>
            <w:pPr>
              <w:spacing w:after="0"/>
              <w:rPr>
                <w:sz w:val="8"/>
                <w:szCs w:val="8"/>
                <w:color w:val="auto"/>
              </w:rPr>
            </w:pPr>
          </w:p>
        </w:tc>
        <w:tc>
          <w:tcPr>
            <w:tcW w:w="1380" w:type="dxa"/>
            <w:vAlign w:val="bottom"/>
            <w:vMerge w:val="continue"/>
          </w:tcPr>
          <w:p>
            <w:pPr>
              <w:spacing w:after="0"/>
              <w:rPr>
                <w:sz w:val="8"/>
                <w:szCs w:val="8"/>
                <w:color w:val="auto"/>
              </w:rPr>
            </w:pPr>
          </w:p>
        </w:tc>
        <w:tc>
          <w:tcPr>
            <w:tcW w:w="1220" w:type="dxa"/>
            <w:vAlign w:val="bottom"/>
            <w:vMerge w:val="restart"/>
            <w:shd w:val="clear" w:color="auto" w:fill="CCECFF"/>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Nominee for</w:t>
            </w:r>
          </w:p>
        </w:tc>
        <w:tc>
          <w:tcPr>
            <w:tcW w:w="0" w:type="dxa"/>
            <w:vAlign w:val="bottom"/>
          </w:tcPr>
          <w:p>
            <w:pPr>
              <w:spacing w:after="0"/>
              <w:rPr>
                <w:sz w:val="1"/>
                <w:szCs w:val="1"/>
                <w:color w:val="auto"/>
              </w:rPr>
            </w:pPr>
          </w:p>
        </w:tc>
      </w:tr>
      <w:tr>
        <w:trPr>
          <w:trHeight w:val="45"/>
        </w:trPr>
        <w:tc>
          <w:tcPr>
            <w:tcW w:w="1260" w:type="dxa"/>
            <w:vAlign w:val="bottom"/>
            <w:vMerge w:val="continue"/>
            <w:shd w:val="clear" w:color="auto" w:fill="CCECFF"/>
          </w:tcPr>
          <w:p>
            <w:pPr>
              <w:spacing w:after="0"/>
              <w:rPr>
                <w:sz w:val="3"/>
                <w:szCs w:val="3"/>
                <w:color w:val="auto"/>
              </w:rPr>
            </w:pPr>
          </w:p>
        </w:tc>
        <w:tc>
          <w:tcPr>
            <w:tcW w:w="1440" w:type="dxa"/>
            <w:vAlign w:val="bottom"/>
            <w:vMerge w:val="continue"/>
            <w:shd w:val="clear" w:color="auto" w:fill="CCECFF"/>
          </w:tcPr>
          <w:p>
            <w:pPr>
              <w:spacing w:after="0"/>
              <w:rPr>
                <w:sz w:val="3"/>
                <w:szCs w:val="3"/>
                <w:color w:val="auto"/>
              </w:rPr>
            </w:pPr>
          </w:p>
        </w:tc>
        <w:tc>
          <w:tcPr>
            <w:tcW w:w="4500" w:type="dxa"/>
            <w:vAlign w:val="bottom"/>
            <w:vMerge w:val="restart"/>
            <w:shd w:val="clear" w:color="auto" w:fill="CCECFF"/>
          </w:tcPr>
          <w:p>
            <w:pPr>
              <w:ind w:left="2020"/>
              <w:spacing w:after="0"/>
              <w:rPr>
                <w:sz w:val="20"/>
                <w:szCs w:val="20"/>
                <w:color w:val="auto"/>
              </w:rPr>
            </w:pPr>
            <w:r>
              <w:rPr>
                <w:rFonts w:ascii="Times New Roman" w:cs="Times New Roman" w:eastAsia="Times New Roman" w:hAnsi="Times New Roman"/>
                <w:sz w:val="16"/>
                <w:szCs w:val="16"/>
                <w:b w:val="1"/>
                <w:bCs w:val="1"/>
                <w:color w:val="auto"/>
              </w:rPr>
              <w:t>During the Past Five Years</w:t>
            </w:r>
          </w:p>
        </w:tc>
        <w:tc>
          <w:tcPr>
            <w:tcW w:w="1440" w:type="dxa"/>
            <w:vAlign w:val="bottom"/>
            <w:shd w:val="clear" w:color="auto" w:fill="CCECFF"/>
          </w:tcPr>
          <w:p>
            <w:pPr>
              <w:spacing w:after="0"/>
              <w:rPr>
                <w:sz w:val="3"/>
                <w:szCs w:val="3"/>
                <w:color w:val="auto"/>
              </w:rPr>
            </w:pPr>
          </w:p>
        </w:tc>
        <w:tc>
          <w:tcPr>
            <w:tcW w:w="1380" w:type="dxa"/>
            <w:vAlign w:val="bottom"/>
          </w:tcPr>
          <w:p>
            <w:pPr>
              <w:spacing w:after="0"/>
              <w:rPr>
                <w:sz w:val="3"/>
                <w:szCs w:val="3"/>
                <w:color w:val="auto"/>
              </w:rPr>
            </w:pPr>
          </w:p>
        </w:tc>
        <w:tc>
          <w:tcPr>
            <w:tcW w:w="1220" w:type="dxa"/>
            <w:vAlign w:val="bottom"/>
            <w:vMerge w:val="continue"/>
            <w:shd w:val="clear" w:color="auto" w:fill="CCECFF"/>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260" w:type="dxa"/>
            <w:vAlign w:val="bottom"/>
            <w:tcBorders>
              <w:bottom w:val="single" w:sz="8" w:color="CCECFF"/>
            </w:tcBorders>
            <w:vMerge w:val="continue"/>
            <w:shd w:val="clear" w:color="auto" w:fill="CCECFF"/>
          </w:tcPr>
          <w:p>
            <w:pPr>
              <w:spacing w:after="0"/>
              <w:rPr>
                <w:sz w:val="15"/>
                <w:szCs w:val="15"/>
                <w:color w:val="auto"/>
              </w:rPr>
            </w:pPr>
          </w:p>
        </w:tc>
        <w:tc>
          <w:tcPr>
            <w:tcW w:w="1440" w:type="dxa"/>
            <w:vAlign w:val="bottom"/>
            <w:tcBorders>
              <w:bottom w:val="single" w:sz="8" w:color="CCECFF"/>
            </w:tcBorders>
            <w:vMerge w:val="continue"/>
            <w:shd w:val="clear" w:color="auto" w:fill="CCECFF"/>
          </w:tcPr>
          <w:p>
            <w:pPr>
              <w:spacing w:after="0"/>
              <w:rPr>
                <w:sz w:val="15"/>
                <w:szCs w:val="15"/>
                <w:color w:val="auto"/>
              </w:rPr>
            </w:pPr>
          </w:p>
        </w:tc>
        <w:tc>
          <w:tcPr>
            <w:tcW w:w="4500" w:type="dxa"/>
            <w:vAlign w:val="bottom"/>
            <w:tcBorders>
              <w:bottom w:val="single" w:sz="8" w:color="CCECFF"/>
            </w:tcBorders>
            <w:vMerge w:val="continue"/>
            <w:shd w:val="clear" w:color="auto" w:fill="CCECFF"/>
          </w:tcPr>
          <w:p>
            <w:pPr>
              <w:spacing w:after="0"/>
              <w:rPr>
                <w:sz w:val="15"/>
                <w:szCs w:val="15"/>
                <w:color w:val="auto"/>
              </w:rPr>
            </w:pPr>
          </w:p>
        </w:tc>
        <w:tc>
          <w:tcPr>
            <w:tcW w:w="1440" w:type="dxa"/>
            <w:vAlign w:val="bottom"/>
            <w:tcBorders>
              <w:bottom w:val="single" w:sz="8" w:color="CCECFF"/>
            </w:tcBorders>
            <w:shd w:val="clear" w:color="auto" w:fill="CCECFF"/>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0" w:type="dxa"/>
            <w:vAlign w:val="bottom"/>
          </w:tcPr>
          <w:p>
            <w:pPr>
              <w:spacing w:after="0"/>
              <w:rPr>
                <w:sz w:val="1"/>
                <w:szCs w:val="1"/>
                <w:color w:val="auto"/>
              </w:rPr>
            </w:pPr>
          </w:p>
        </w:tc>
      </w:tr>
      <w:tr>
        <w:trPr>
          <w:trHeight w:val="182"/>
        </w:trPr>
        <w:tc>
          <w:tcPr>
            <w:tcW w:w="1260" w:type="dxa"/>
            <w:vAlign w:val="bottom"/>
            <w:tcBorders>
              <w:top w:val="single" w:sz="8" w:color="auto"/>
            </w:tcBorders>
          </w:tcPr>
          <w:p>
            <w:pPr>
              <w:ind w:left="100"/>
              <w:spacing w:after="0" w:line="182" w:lineRule="exact"/>
              <w:rPr>
                <w:sz w:val="20"/>
                <w:szCs w:val="20"/>
                <w:color w:val="auto"/>
              </w:rPr>
            </w:pPr>
            <w:r>
              <w:rPr>
                <w:rFonts w:ascii="Times New Roman" w:cs="Times New Roman" w:eastAsia="Times New Roman" w:hAnsi="Times New Roman"/>
                <w:sz w:val="16"/>
                <w:szCs w:val="16"/>
                <w:color w:val="auto"/>
              </w:rPr>
              <w:t>Kathleen M.</w:t>
            </w:r>
          </w:p>
        </w:tc>
        <w:tc>
          <w:tcPr>
            <w:tcW w:w="1440" w:type="dxa"/>
            <w:vAlign w:val="bottom"/>
            <w:tcBorders>
              <w:top w:val="single" w:sz="8" w:color="auto"/>
            </w:tcBorders>
          </w:tcPr>
          <w:p>
            <w:pPr>
              <w:ind w:left="80"/>
              <w:spacing w:after="0" w:line="182" w:lineRule="exact"/>
              <w:rPr>
                <w:sz w:val="20"/>
                <w:szCs w:val="20"/>
                <w:color w:val="auto"/>
              </w:rPr>
            </w:pPr>
            <w:r>
              <w:rPr>
                <w:rFonts w:ascii="Times New Roman" w:cs="Times New Roman" w:eastAsia="Times New Roman" w:hAnsi="Times New Roman"/>
                <w:sz w:val="16"/>
                <w:szCs w:val="16"/>
                <w:color w:val="auto"/>
              </w:rPr>
              <w:t>Director since</w:t>
            </w:r>
          </w:p>
        </w:tc>
        <w:tc>
          <w:tcPr>
            <w:tcW w:w="5940" w:type="dxa"/>
            <w:vAlign w:val="bottom"/>
            <w:tcBorders>
              <w:top w:val="single" w:sz="8" w:color="auto"/>
            </w:tcBorders>
            <w:gridSpan w:val="2"/>
          </w:tcPr>
          <w:p>
            <w:pPr>
              <w:ind w:left="140"/>
              <w:spacing w:after="0" w:line="182" w:lineRule="exact"/>
              <w:rPr>
                <w:sz w:val="20"/>
                <w:szCs w:val="20"/>
                <w:color w:val="auto"/>
              </w:rPr>
            </w:pPr>
            <w:r>
              <w:rPr>
                <w:rFonts w:ascii="Times New Roman" w:cs="Times New Roman" w:eastAsia="Times New Roman" w:hAnsi="Times New Roman"/>
                <w:sz w:val="16"/>
                <w:szCs w:val="16"/>
                <w:color w:val="auto"/>
              </w:rPr>
              <w:t>Ms. Griggs has been a managing director of Griggs Consulting, LLC, a consulting and</w:t>
            </w:r>
          </w:p>
        </w:tc>
        <w:tc>
          <w:tcPr>
            <w:tcW w:w="1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Griggs (3)(4)(5)</w:t>
            </w:r>
          </w:p>
        </w:tc>
        <w:tc>
          <w:tcPr>
            <w:tcW w:w="1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2018; term expires</w:t>
            </w:r>
          </w:p>
        </w:tc>
        <w:tc>
          <w:tcPr>
            <w:tcW w:w="4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advisory firm, since 2014. Prior to that, Ms. Griggs served as</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the Chief Financial</w:t>
            </w:r>
          </w:p>
        </w:tc>
        <w:tc>
          <w:tcPr>
            <w:tcW w:w="1380" w:type="dxa"/>
            <w:vAlign w:val="bottom"/>
            <w:vMerge w:val="restart"/>
          </w:tcPr>
          <w:p>
            <w:pPr>
              <w:jc w:val="right"/>
              <w:ind w:right="574"/>
              <w:spacing w:after="0"/>
              <w:rPr>
                <w:sz w:val="20"/>
                <w:szCs w:val="20"/>
                <w:color w:val="auto"/>
              </w:rPr>
            </w:pPr>
            <w:r>
              <w:rPr>
                <w:rFonts w:ascii="Times New Roman" w:cs="Times New Roman" w:eastAsia="Times New Roman" w:hAnsi="Times New Roman"/>
                <w:sz w:val="16"/>
                <w:szCs w:val="16"/>
                <w:color w:val="auto"/>
              </w:rPr>
              <w:t>1</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54"/>
        </w:trPr>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(6)</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2027</w:t>
            </w:r>
          </w:p>
        </w:tc>
        <w:tc>
          <w:tcPr>
            <w:tcW w:w="5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Officer of j2 Global, Inc. from 2007 to 2014. Ms. Griggs also previously served as a</w:t>
            </w:r>
          </w:p>
        </w:tc>
        <w:tc>
          <w:tcPr>
            <w:tcW w:w="138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2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5940" w:type="dxa"/>
            <w:vAlign w:val="bottom"/>
            <w:gridSpan w:val="2"/>
            <w:vMerge w:val="continue"/>
          </w:tcPr>
          <w:p>
            <w:pPr>
              <w:spacing w:after="0"/>
              <w:rPr>
                <w:sz w:val="12"/>
                <w:szCs w:val="12"/>
                <w:color w:val="auto"/>
              </w:rPr>
            </w:pPr>
          </w:p>
        </w:tc>
        <w:tc>
          <w:tcPr>
            <w:tcW w:w="1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Age: 71</w:t>
            </w:r>
          </w:p>
        </w:tc>
        <w:tc>
          <w:tcPr>
            <w:tcW w:w="1440" w:type="dxa"/>
            <w:vAlign w:val="bottom"/>
          </w:tcPr>
          <w:p>
            <w:pPr>
              <w:spacing w:after="0"/>
              <w:rPr>
                <w:sz w:val="17"/>
                <w:szCs w:val="17"/>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 Audit Committee Chair and Governance Committee</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member for Chad</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Therapeutics, Inc. from 2001 to 2009. Ms. Griggs received a Bachelor of Science</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degree in Business Administration from the University of Redlands and a Master of</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Business Administration degree from the University of Southern California in Los</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Angeles. Ms. Griggs’s term as a Class III Director will expire in 2027.</w:t>
            </w: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Ms. Griggs, the chair of our audit committee, brings to our board</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of directors years of</w:t>
            </w:r>
          </w:p>
        </w:tc>
        <w:tc>
          <w:tcPr>
            <w:tcW w:w="1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accounting expertise. Her knowledge of accounting principles, financial reporting rules</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and regulations, the evaluation of financial results and the oversight of the financial</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reporting process makes her an asset to our board of directors.</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90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Our Current Directors (Continued)</w:t>
            </w: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840" w:type="dxa"/>
            <w:vAlign w:val="bottom"/>
            <w:gridSpan w:val="2"/>
          </w:tcPr>
          <w:p>
            <w:pPr>
              <w:spacing w:after="0"/>
              <w:rPr>
                <w:sz w:val="4"/>
                <w:szCs w:val="4"/>
                <w:color w:val="auto"/>
              </w:rPr>
            </w:pPr>
          </w:p>
        </w:tc>
        <w:tc>
          <w:tcPr>
            <w:tcW w:w="49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840" w:type="dxa"/>
            <w:vAlign w:val="bottom"/>
            <w:tcBorders>
              <w:bottom w:val="single" w:sz="8" w:color="CCECFF"/>
            </w:tcBorders>
            <w:gridSpan w:val="2"/>
            <w:shd w:val="clear" w:color="auto" w:fill="CCECFF"/>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Interested Directors (Continued)</w:t>
            </w:r>
          </w:p>
        </w:tc>
        <w:tc>
          <w:tcPr>
            <w:tcW w:w="4900" w:type="dxa"/>
            <w:vAlign w:val="bottom"/>
            <w:tcBorders>
              <w:bottom w:val="single" w:sz="8" w:color="CCECFF"/>
            </w:tcBorders>
            <w:shd w:val="clear" w:color="auto" w:fill="CCECFF"/>
          </w:tcPr>
          <w:p>
            <w:pPr>
              <w:spacing w:after="0"/>
              <w:rPr>
                <w:sz w:val="19"/>
                <w:szCs w:val="19"/>
                <w:color w:val="auto"/>
              </w:rPr>
            </w:pPr>
          </w:p>
        </w:tc>
        <w:tc>
          <w:tcPr>
            <w:tcW w:w="380" w:type="dxa"/>
            <w:vAlign w:val="bottom"/>
            <w:tcBorders>
              <w:bottom w:val="single" w:sz="8" w:color="CCECFF"/>
            </w:tcBorders>
            <w:shd w:val="clear" w:color="auto" w:fill="CCECFF"/>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76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740" w:type="dxa"/>
            <w:vAlign w:val="bottom"/>
            <w:gridSpan w:val="3"/>
          </w:tcPr>
          <w:p>
            <w:pPr>
              <w:ind w:left="100"/>
              <w:spacing w:after="0" w:line="162" w:lineRule="exact"/>
              <w:rPr>
                <w:sz w:val="20"/>
                <w:szCs w:val="20"/>
                <w:color w:val="auto"/>
              </w:rPr>
            </w:pPr>
            <w:r>
              <w:rPr>
                <w:rFonts w:ascii="Times New Roman" w:cs="Times New Roman" w:eastAsia="Times New Roman" w:hAnsi="Times New Roman"/>
                <w:sz w:val="16"/>
                <w:szCs w:val="16"/>
                <w:color w:val="auto"/>
              </w:rPr>
              <w:t>Mr. Rashid is an interested person, as defined in the 1940 Act, due to his position as an officer of the Company.</w:t>
            </w:r>
          </w:p>
        </w:tc>
        <w:tc>
          <w:tcPr>
            <w:tcW w:w="3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Portfolios in Fund</w:t>
            </w:r>
          </w:p>
        </w:tc>
        <w:tc>
          <w:tcPr>
            <w:tcW w:w="17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260" w:type="dxa"/>
            <w:vAlign w:val="bottom"/>
            <w:tcBorders>
              <w:bottom w:val="single" w:sz="8" w:color="CCECFF"/>
            </w:tcBorders>
          </w:tcPr>
          <w:p>
            <w:pPr>
              <w:spacing w:after="0"/>
              <w:rPr>
                <w:sz w:val="7"/>
                <w:szCs w:val="7"/>
                <w:color w:val="auto"/>
              </w:rPr>
            </w:pPr>
          </w:p>
        </w:tc>
        <w:tc>
          <w:tcPr>
            <w:tcW w:w="1580" w:type="dxa"/>
            <w:vAlign w:val="bottom"/>
            <w:tcBorders>
              <w:bottom w:val="single" w:sz="8" w:color="CCECFF"/>
            </w:tcBorders>
          </w:tcPr>
          <w:p>
            <w:pPr>
              <w:spacing w:after="0"/>
              <w:rPr>
                <w:sz w:val="7"/>
                <w:szCs w:val="7"/>
                <w:color w:val="auto"/>
              </w:rPr>
            </w:pPr>
          </w:p>
        </w:tc>
        <w:tc>
          <w:tcPr>
            <w:tcW w:w="4900" w:type="dxa"/>
            <w:vAlign w:val="bottom"/>
            <w:tcBorders>
              <w:bottom w:val="single" w:sz="8" w:color="CCECFF"/>
            </w:tcBorders>
          </w:tcPr>
          <w:p>
            <w:pPr>
              <w:spacing w:after="0"/>
              <w:rPr>
                <w:sz w:val="7"/>
                <w:szCs w:val="7"/>
                <w:color w:val="auto"/>
              </w:rPr>
            </w:pPr>
          </w:p>
        </w:tc>
        <w:tc>
          <w:tcPr>
            <w:tcW w:w="380" w:type="dxa"/>
            <w:vAlign w:val="bottom"/>
            <w:tcBorders>
              <w:bottom w:val="single" w:sz="8" w:color="CCECFF"/>
            </w:tcBorders>
          </w:tcPr>
          <w:p>
            <w:pPr>
              <w:spacing w:after="0"/>
              <w:rPr>
                <w:sz w:val="7"/>
                <w:szCs w:val="7"/>
                <w:color w:val="auto"/>
              </w:rPr>
            </w:pPr>
          </w:p>
        </w:tc>
        <w:tc>
          <w:tcPr>
            <w:tcW w:w="136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Complex</w:t>
            </w:r>
          </w:p>
        </w:tc>
        <w:tc>
          <w:tcPr>
            <w:tcW w:w="1760" w:type="dxa"/>
            <w:vAlign w:val="bottom"/>
            <w:tcBorders>
              <w:bottom w:val="single" w:sz="8" w:color="CCECFF"/>
            </w:tcBorders>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260" w:type="dxa"/>
            <w:vAlign w:val="bottom"/>
            <w:shd w:val="clear" w:color="auto" w:fill="CCECFF"/>
          </w:tcPr>
          <w:p>
            <w:pPr>
              <w:ind w:left="100"/>
              <w:spacing w:after="0" w:line="146" w:lineRule="exact"/>
              <w:rPr>
                <w:sz w:val="20"/>
                <w:szCs w:val="20"/>
                <w:color w:val="auto"/>
              </w:rPr>
            </w:pPr>
            <w:r>
              <w:rPr>
                <w:rFonts w:ascii="Times New Roman" w:cs="Times New Roman" w:eastAsia="Times New Roman" w:hAnsi="Times New Roman"/>
                <w:sz w:val="16"/>
                <w:szCs w:val="16"/>
                <w:b w:val="1"/>
                <w:bCs w:val="1"/>
                <w:color w:val="auto"/>
              </w:rPr>
              <w:t>Name,</w:t>
            </w:r>
          </w:p>
        </w:tc>
        <w:tc>
          <w:tcPr>
            <w:tcW w:w="1580" w:type="dxa"/>
            <w:vAlign w:val="bottom"/>
            <w:shd w:val="clear" w:color="auto" w:fill="CCECFF"/>
          </w:tcPr>
          <w:p>
            <w:pPr>
              <w:ind w:left="120"/>
              <w:spacing w:after="0" w:line="146" w:lineRule="exact"/>
              <w:rPr>
                <w:sz w:val="20"/>
                <w:szCs w:val="20"/>
                <w:color w:val="auto"/>
              </w:rPr>
            </w:pPr>
            <w:r>
              <w:rPr>
                <w:rFonts w:ascii="Times New Roman" w:cs="Times New Roman" w:eastAsia="Times New Roman" w:hAnsi="Times New Roman"/>
                <w:sz w:val="16"/>
                <w:szCs w:val="16"/>
                <w:b w:val="1"/>
                <w:bCs w:val="1"/>
                <w:color w:val="auto"/>
              </w:rPr>
              <w:t>Term of Office and</w:t>
            </w:r>
          </w:p>
        </w:tc>
        <w:tc>
          <w:tcPr>
            <w:tcW w:w="4900" w:type="dxa"/>
            <w:vAlign w:val="bottom"/>
            <w:shd w:val="clear" w:color="auto" w:fill="CCECFF"/>
          </w:tcPr>
          <w:p>
            <w:pPr>
              <w:spacing w:after="0"/>
              <w:rPr>
                <w:sz w:val="12"/>
                <w:szCs w:val="12"/>
                <w:color w:val="auto"/>
              </w:rPr>
            </w:pPr>
          </w:p>
        </w:tc>
        <w:tc>
          <w:tcPr>
            <w:tcW w:w="380" w:type="dxa"/>
            <w:vAlign w:val="bottom"/>
            <w:shd w:val="clear" w:color="auto" w:fill="CCECFF"/>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Overseen</w:t>
            </w:r>
          </w:p>
        </w:tc>
        <w:tc>
          <w:tcPr>
            <w:tcW w:w="1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CFF"/>
          </w:tcPr>
          <w:p>
            <w:pPr>
              <w:ind w:left="100"/>
              <w:spacing w:after="0" w:line="162" w:lineRule="exact"/>
              <w:rPr>
                <w:sz w:val="20"/>
                <w:szCs w:val="20"/>
                <w:color w:val="auto"/>
              </w:rPr>
            </w:pPr>
            <w:r>
              <w:rPr>
                <w:rFonts w:ascii="Times New Roman" w:cs="Times New Roman" w:eastAsia="Times New Roman" w:hAnsi="Times New Roman"/>
                <w:sz w:val="16"/>
                <w:szCs w:val="16"/>
                <w:b w:val="1"/>
                <w:bCs w:val="1"/>
                <w:color w:val="auto"/>
              </w:rPr>
              <w:t>Address(1) and</w:t>
            </w:r>
          </w:p>
        </w:tc>
        <w:tc>
          <w:tcPr>
            <w:tcW w:w="1580" w:type="dxa"/>
            <w:vAlign w:val="bottom"/>
            <w:shd w:val="clear" w:color="auto" w:fill="CCECFF"/>
          </w:tcPr>
          <w:p>
            <w:pPr>
              <w:ind w:left="120"/>
              <w:spacing w:after="0" w:line="162" w:lineRule="exact"/>
              <w:rPr>
                <w:sz w:val="20"/>
                <w:szCs w:val="20"/>
                <w:color w:val="auto"/>
              </w:rPr>
            </w:pPr>
            <w:r>
              <w:rPr>
                <w:rFonts w:ascii="Times New Roman" w:cs="Times New Roman" w:eastAsia="Times New Roman" w:hAnsi="Times New Roman"/>
                <w:sz w:val="16"/>
                <w:szCs w:val="16"/>
                <w:b w:val="1"/>
                <w:bCs w:val="1"/>
                <w:color w:val="auto"/>
              </w:rPr>
              <w:t>Length of Time</w:t>
            </w:r>
          </w:p>
        </w:tc>
        <w:tc>
          <w:tcPr>
            <w:tcW w:w="5280" w:type="dxa"/>
            <w:vAlign w:val="bottom"/>
            <w:gridSpan w:val="2"/>
            <w:vMerge w:val="restart"/>
            <w:shd w:val="clear" w:color="auto" w:fill="CCECFF"/>
          </w:tcPr>
          <w:p>
            <w:pPr>
              <w:jc w:val="center"/>
              <w:spacing w:after="0"/>
              <w:rPr>
                <w:sz w:val="20"/>
                <w:szCs w:val="20"/>
                <w:color w:val="auto"/>
              </w:rPr>
            </w:pPr>
            <w:r>
              <w:rPr>
                <w:rFonts w:ascii="Times New Roman" w:cs="Times New Roman" w:eastAsia="Times New Roman" w:hAnsi="Times New Roman"/>
                <w:sz w:val="16"/>
                <w:szCs w:val="16"/>
                <w:b w:val="1"/>
                <w:bCs w:val="1"/>
                <w:color w:val="auto"/>
              </w:rPr>
              <w:t>Position(s) Held with Fund, Principal Occupation and Other Business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by Director or</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b w:val="1"/>
                <w:bCs w:val="1"/>
                <w:color w:val="auto"/>
              </w:rPr>
              <w:t>Other Directorships Held</w:t>
            </w:r>
          </w:p>
        </w:tc>
        <w:tc>
          <w:tcPr>
            <w:tcW w:w="0" w:type="dxa"/>
            <w:vAlign w:val="bottom"/>
          </w:tcPr>
          <w:p>
            <w:pPr>
              <w:spacing w:after="0"/>
              <w:rPr>
                <w:sz w:val="1"/>
                <w:szCs w:val="1"/>
                <w:color w:val="auto"/>
              </w:rPr>
            </w:pPr>
          </w:p>
        </w:tc>
      </w:tr>
      <w:tr>
        <w:trPr>
          <w:trHeight w:val="92"/>
        </w:trPr>
        <w:tc>
          <w:tcPr>
            <w:tcW w:w="1260" w:type="dxa"/>
            <w:vAlign w:val="bottom"/>
            <w:vMerge w:val="restart"/>
            <w:shd w:val="clear" w:color="auto" w:fill="CCECFF"/>
          </w:tcPr>
          <w:p>
            <w:pPr>
              <w:ind w:left="100"/>
              <w:spacing w:after="0"/>
              <w:rPr>
                <w:sz w:val="20"/>
                <w:szCs w:val="20"/>
                <w:color w:val="auto"/>
              </w:rPr>
            </w:pPr>
            <w:r>
              <w:rPr>
                <w:rFonts w:ascii="Times New Roman" w:cs="Times New Roman" w:eastAsia="Times New Roman" w:hAnsi="Times New Roman"/>
                <w:sz w:val="16"/>
                <w:szCs w:val="16"/>
                <w:b w:val="1"/>
                <w:bCs w:val="1"/>
                <w:color w:val="auto"/>
              </w:rPr>
              <w:t>Age</w:t>
            </w:r>
          </w:p>
        </w:tc>
        <w:tc>
          <w:tcPr>
            <w:tcW w:w="1580" w:type="dxa"/>
            <w:vAlign w:val="bottom"/>
            <w:vMerge w:val="restart"/>
            <w:shd w:val="clear" w:color="auto" w:fill="CCECFF"/>
          </w:tcPr>
          <w:p>
            <w:pPr>
              <w:ind w:left="120"/>
              <w:spacing w:after="0"/>
              <w:rPr>
                <w:sz w:val="20"/>
                <w:szCs w:val="20"/>
                <w:color w:val="auto"/>
              </w:rPr>
            </w:pPr>
            <w:r>
              <w:rPr>
                <w:rFonts w:ascii="Times New Roman" w:cs="Times New Roman" w:eastAsia="Times New Roman" w:hAnsi="Times New Roman"/>
                <w:sz w:val="16"/>
                <w:szCs w:val="16"/>
                <w:b w:val="1"/>
                <w:bCs w:val="1"/>
                <w:color w:val="auto"/>
              </w:rPr>
              <w:t>Served</w:t>
            </w:r>
          </w:p>
        </w:tc>
        <w:tc>
          <w:tcPr>
            <w:tcW w:w="5280" w:type="dxa"/>
            <w:vAlign w:val="bottom"/>
            <w:gridSpan w:val="2"/>
            <w:vMerge w:val="continue"/>
            <w:shd w:val="clear" w:color="auto" w:fill="CCECFF"/>
          </w:tcPr>
          <w:p>
            <w:pPr>
              <w:spacing w:after="0"/>
              <w:rPr>
                <w:sz w:val="8"/>
                <w:szCs w:val="8"/>
                <w:color w:val="auto"/>
              </w:rPr>
            </w:pPr>
          </w:p>
        </w:tc>
        <w:tc>
          <w:tcPr>
            <w:tcW w:w="13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Nominees for</w:t>
            </w:r>
          </w:p>
        </w:tc>
        <w:tc>
          <w:tcPr>
            <w:tcW w:w="1760" w:type="dxa"/>
            <w:vAlign w:val="bottom"/>
            <w:vMerge w:val="restart"/>
            <w:shd w:val="clear" w:color="auto" w:fill="CCECFF"/>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by Director or Nominee</w:t>
            </w:r>
          </w:p>
        </w:tc>
        <w:tc>
          <w:tcPr>
            <w:tcW w:w="0" w:type="dxa"/>
            <w:vAlign w:val="bottom"/>
          </w:tcPr>
          <w:p>
            <w:pPr>
              <w:spacing w:after="0"/>
              <w:rPr>
                <w:sz w:val="1"/>
                <w:szCs w:val="1"/>
                <w:color w:val="auto"/>
              </w:rPr>
            </w:pPr>
          </w:p>
        </w:tc>
      </w:tr>
      <w:tr>
        <w:trPr>
          <w:trHeight w:val="45"/>
        </w:trPr>
        <w:tc>
          <w:tcPr>
            <w:tcW w:w="1260" w:type="dxa"/>
            <w:vAlign w:val="bottom"/>
            <w:vMerge w:val="continue"/>
            <w:shd w:val="clear" w:color="auto" w:fill="CCECFF"/>
          </w:tcPr>
          <w:p>
            <w:pPr>
              <w:spacing w:after="0"/>
              <w:rPr>
                <w:sz w:val="3"/>
                <w:szCs w:val="3"/>
                <w:color w:val="auto"/>
              </w:rPr>
            </w:pPr>
          </w:p>
        </w:tc>
        <w:tc>
          <w:tcPr>
            <w:tcW w:w="1580" w:type="dxa"/>
            <w:vAlign w:val="bottom"/>
            <w:vMerge w:val="continue"/>
            <w:shd w:val="clear" w:color="auto" w:fill="CCECFF"/>
          </w:tcPr>
          <w:p>
            <w:pPr>
              <w:spacing w:after="0"/>
              <w:rPr>
                <w:sz w:val="3"/>
                <w:szCs w:val="3"/>
                <w:color w:val="auto"/>
              </w:rPr>
            </w:pPr>
          </w:p>
        </w:tc>
        <w:tc>
          <w:tcPr>
            <w:tcW w:w="4900" w:type="dxa"/>
            <w:vAlign w:val="bottom"/>
            <w:vMerge w:val="restart"/>
            <w:shd w:val="clear" w:color="auto" w:fill="CCECFF"/>
          </w:tcPr>
          <w:p>
            <w:pPr>
              <w:jc w:val="center"/>
              <w:ind w:left="257"/>
              <w:spacing w:after="0"/>
              <w:rPr>
                <w:sz w:val="20"/>
                <w:szCs w:val="20"/>
                <w:color w:val="auto"/>
              </w:rPr>
            </w:pPr>
            <w:r>
              <w:rPr>
                <w:rFonts w:ascii="Times New Roman" w:cs="Times New Roman" w:eastAsia="Times New Roman" w:hAnsi="Times New Roman"/>
                <w:sz w:val="16"/>
                <w:szCs w:val="16"/>
                <w:b w:val="1"/>
                <w:bCs w:val="1"/>
                <w:color w:val="auto"/>
              </w:rPr>
              <w:t>Experience During the Past Five Years</w:t>
            </w:r>
          </w:p>
        </w:tc>
        <w:tc>
          <w:tcPr>
            <w:tcW w:w="380" w:type="dxa"/>
            <w:vAlign w:val="bottom"/>
            <w:shd w:val="clear" w:color="auto" w:fill="CCECFF"/>
          </w:tcPr>
          <w:p>
            <w:pPr>
              <w:spacing w:after="0"/>
              <w:rPr>
                <w:sz w:val="3"/>
                <w:szCs w:val="3"/>
                <w:color w:val="auto"/>
              </w:rPr>
            </w:pPr>
          </w:p>
        </w:tc>
        <w:tc>
          <w:tcPr>
            <w:tcW w:w="1360" w:type="dxa"/>
            <w:vAlign w:val="bottom"/>
            <w:vMerge w:val="continue"/>
          </w:tcPr>
          <w:p>
            <w:pPr>
              <w:spacing w:after="0"/>
              <w:rPr>
                <w:sz w:val="3"/>
                <w:szCs w:val="3"/>
                <w:color w:val="auto"/>
              </w:rPr>
            </w:pPr>
          </w:p>
        </w:tc>
        <w:tc>
          <w:tcPr>
            <w:tcW w:w="1760" w:type="dxa"/>
            <w:vAlign w:val="bottom"/>
            <w:vMerge w:val="continue"/>
            <w:shd w:val="clear" w:color="auto" w:fill="CCECFF"/>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260" w:type="dxa"/>
            <w:vAlign w:val="bottom"/>
            <w:tcBorders>
              <w:bottom w:val="single" w:sz="8" w:color="CCECFF"/>
            </w:tcBorders>
            <w:vMerge w:val="continue"/>
            <w:shd w:val="clear" w:color="auto" w:fill="CCECFF"/>
          </w:tcPr>
          <w:p>
            <w:pPr>
              <w:spacing w:after="0"/>
              <w:rPr>
                <w:sz w:val="15"/>
                <w:szCs w:val="15"/>
                <w:color w:val="auto"/>
              </w:rPr>
            </w:pPr>
          </w:p>
        </w:tc>
        <w:tc>
          <w:tcPr>
            <w:tcW w:w="1580" w:type="dxa"/>
            <w:vAlign w:val="bottom"/>
            <w:tcBorders>
              <w:bottom w:val="single" w:sz="8" w:color="CCECFF"/>
            </w:tcBorders>
            <w:vMerge w:val="continue"/>
            <w:shd w:val="clear" w:color="auto" w:fill="CCECFF"/>
          </w:tcPr>
          <w:p>
            <w:pPr>
              <w:spacing w:after="0"/>
              <w:rPr>
                <w:sz w:val="15"/>
                <w:szCs w:val="15"/>
                <w:color w:val="auto"/>
              </w:rPr>
            </w:pPr>
          </w:p>
        </w:tc>
        <w:tc>
          <w:tcPr>
            <w:tcW w:w="4900" w:type="dxa"/>
            <w:vAlign w:val="bottom"/>
            <w:tcBorders>
              <w:bottom w:val="single" w:sz="8" w:color="CCECFF"/>
            </w:tcBorders>
            <w:vMerge w:val="continue"/>
            <w:shd w:val="clear" w:color="auto" w:fill="CCECFF"/>
          </w:tcPr>
          <w:p>
            <w:pPr>
              <w:spacing w:after="0"/>
              <w:rPr>
                <w:sz w:val="15"/>
                <w:szCs w:val="15"/>
                <w:color w:val="auto"/>
              </w:rPr>
            </w:pPr>
          </w:p>
        </w:tc>
        <w:tc>
          <w:tcPr>
            <w:tcW w:w="380" w:type="dxa"/>
            <w:vAlign w:val="bottom"/>
            <w:tcBorders>
              <w:bottom w:val="single" w:sz="8" w:color="CCECFF"/>
            </w:tcBorders>
            <w:shd w:val="clear" w:color="auto" w:fill="CCECFF"/>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Director(2)</w:t>
            </w:r>
          </w:p>
        </w:tc>
        <w:tc>
          <w:tcPr>
            <w:tcW w:w="17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b w:val="1"/>
                <w:bCs w:val="1"/>
                <w:color w:val="auto"/>
              </w:rPr>
              <w:t>for Director</w:t>
            </w:r>
          </w:p>
        </w:tc>
        <w:tc>
          <w:tcPr>
            <w:tcW w:w="0" w:type="dxa"/>
            <w:vAlign w:val="bottom"/>
          </w:tcPr>
          <w:p>
            <w:pPr>
              <w:spacing w:after="0"/>
              <w:rPr>
                <w:sz w:val="1"/>
                <w:szCs w:val="1"/>
                <w:color w:val="auto"/>
              </w:rPr>
            </w:pPr>
          </w:p>
        </w:tc>
      </w:tr>
      <w:tr>
        <w:trPr>
          <w:trHeight w:val="182"/>
        </w:trPr>
        <w:tc>
          <w:tcPr>
            <w:tcW w:w="1260" w:type="dxa"/>
            <w:vAlign w:val="bottom"/>
            <w:tcBorders>
              <w:top w:val="single" w:sz="8" w:color="auto"/>
            </w:tcBorders>
          </w:tcPr>
          <w:p>
            <w:pPr>
              <w:ind w:left="100"/>
              <w:spacing w:after="0" w:line="182" w:lineRule="exact"/>
              <w:rPr>
                <w:sz w:val="20"/>
                <w:szCs w:val="20"/>
                <w:color w:val="auto"/>
              </w:rPr>
            </w:pPr>
            <w:r>
              <w:rPr>
                <w:rFonts w:ascii="Times New Roman" w:cs="Times New Roman" w:eastAsia="Times New Roman" w:hAnsi="Times New Roman"/>
                <w:sz w:val="16"/>
                <w:szCs w:val="16"/>
                <w:color w:val="auto"/>
              </w:rPr>
              <w:t>Bilal Rashid</w:t>
            </w:r>
          </w:p>
        </w:tc>
        <w:tc>
          <w:tcPr>
            <w:tcW w:w="1580" w:type="dxa"/>
            <w:vAlign w:val="bottom"/>
            <w:tcBorders>
              <w:top w:val="single" w:sz="8" w:color="auto"/>
            </w:tcBorders>
          </w:tcPr>
          <w:p>
            <w:pPr>
              <w:ind w:left="120"/>
              <w:spacing w:after="0" w:line="182" w:lineRule="exact"/>
              <w:rPr>
                <w:sz w:val="20"/>
                <w:szCs w:val="20"/>
                <w:color w:val="auto"/>
              </w:rPr>
            </w:pPr>
            <w:r>
              <w:rPr>
                <w:rFonts w:ascii="Times New Roman" w:cs="Times New Roman" w:eastAsia="Times New Roman" w:hAnsi="Times New Roman"/>
                <w:sz w:val="16"/>
                <w:szCs w:val="16"/>
                <w:color w:val="auto"/>
              </w:rPr>
              <w:t>Director since 2017;</w:t>
            </w:r>
          </w:p>
        </w:tc>
        <w:tc>
          <w:tcPr>
            <w:tcW w:w="4900" w:type="dxa"/>
            <w:vAlign w:val="bottom"/>
            <w:tcBorders>
              <w:top w:val="single" w:sz="8" w:color="auto"/>
            </w:tcBorders>
          </w:tcPr>
          <w:p>
            <w:pPr>
              <w:ind w:left="120"/>
              <w:spacing w:after="0" w:line="182" w:lineRule="exact"/>
              <w:rPr>
                <w:sz w:val="20"/>
                <w:szCs w:val="20"/>
                <w:color w:val="auto"/>
              </w:rPr>
            </w:pPr>
            <w:r>
              <w:rPr>
                <w:rFonts w:ascii="Times New Roman" w:cs="Times New Roman" w:eastAsia="Times New Roman" w:hAnsi="Times New Roman"/>
                <w:sz w:val="16"/>
                <w:szCs w:val="16"/>
                <w:color w:val="auto"/>
              </w:rPr>
              <w:t>Mr. Rashid has served as our Chairman of the Board since 2018</w:t>
            </w:r>
          </w:p>
        </w:tc>
        <w:tc>
          <w:tcPr>
            <w:tcW w:w="380" w:type="dxa"/>
            <w:vAlign w:val="bottom"/>
            <w:tcBorders>
              <w:top w:val="single" w:sz="8" w:color="auto"/>
            </w:tcBorders>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and</w:t>
            </w:r>
          </w:p>
        </w:tc>
        <w:tc>
          <w:tcPr>
            <w:tcW w:w="136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Age: 55</w:t>
            </w:r>
          </w:p>
        </w:tc>
        <w:tc>
          <w:tcPr>
            <w:tcW w:w="1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term expires 2028</w:t>
            </w:r>
          </w:p>
        </w:tc>
        <w:tc>
          <w:tcPr>
            <w:tcW w:w="5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President and Chief Executive Officer since 2017.  He is also Chairman of</w:t>
            </w:r>
          </w:p>
        </w:tc>
        <w:tc>
          <w:tcPr>
            <w:tcW w:w="1360" w:type="dxa"/>
            <w:vAlign w:val="bottom"/>
          </w:tcPr>
          <w:p>
            <w:pPr>
              <w:jc w:val="right"/>
              <w:ind w:right="569"/>
              <w:spacing w:after="0"/>
              <w:rPr>
                <w:sz w:val="20"/>
                <w:szCs w:val="20"/>
                <w:color w:val="auto"/>
              </w:rPr>
            </w:pPr>
            <w:r>
              <w:rPr>
                <w:rFonts w:ascii="Times New Roman" w:cs="Times New Roman" w:eastAsia="Times New Roman" w:hAnsi="Times New Roman"/>
                <w:sz w:val="16"/>
                <w:szCs w:val="16"/>
                <w:color w:val="auto"/>
              </w:rPr>
              <w:t>4</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OFS Capital, Hancock</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960" w:type="dxa"/>
        <w:tblCellMar>
          <w:top w:w="0" w:type="dxa"/>
          <w:left w:w="0" w:type="dxa"/>
          <w:bottom w:w="0" w:type="dxa"/>
          <w:right w:w="0" w:type="dxa"/>
        </w:tblCellMar>
      </w:tblPr>
      <w:tr>
        <w:trPr>
          <w:trHeight w:val="198"/>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the Board of Directors, President and Chief Executive Officer of Hancock</w:t>
            </w:r>
          </w:p>
        </w:tc>
        <w:tc>
          <w:tcPr>
            <w:tcW w:w="2220" w:type="dxa"/>
            <w:vAlign w:val="bottom"/>
            <w:vMerge w:val="restart"/>
          </w:tcPr>
          <w:p>
            <w:pPr>
              <w:ind w:left="820"/>
              <w:spacing w:after="0"/>
              <w:rPr>
                <w:sz w:val="20"/>
                <w:szCs w:val="20"/>
                <w:color w:val="auto"/>
              </w:rPr>
            </w:pPr>
            <w:r>
              <w:rPr>
                <w:rFonts w:ascii="Times New Roman" w:cs="Times New Roman" w:eastAsia="Times New Roman" w:hAnsi="Times New Roman"/>
                <w:sz w:val="16"/>
                <w:szCs w:val="16"/>
                <w:color w:val="auto"/>
                <w:w w:val="99"/>
              </w:rPr>
              <w:t>Park and CIM RACR</w:t>
            </w:r>
          </w:p>
        </w:tc>
        <w:tc>
          <w:tcPr>
            <w:tcW w:w="0" w:type="dxa"/>
            <w:vAlign w:val="bottom"/>
          </w:tcPr>
          <w:p>
            <w:pPr>
              <w:spacing w:after="0"/>
              <w:rPr>
                <w:sz w:val="1"/>
                <w:szCs w:val="1"/>
                <w:color w:val="auto"/>
              </w:rPr>
            </w:pPr>
          </w:p>
        </w:tc>
      </w:tr>
      <w:tr>
        <w:trPr>
          <w:trHeight w:val="48"/>
        </w:trPr>
        <w:tc>
          <w:tcPr>
            <w:tcW w:w="5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Park and Chairman of the Board and Chief Executive Officer of OFS Capital,</w:t>
            </w:r>
          </w:p>
        </w:tc>
        <w:tc>
          <w:tcPr>
            <w:tcW w:w="2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588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a member of the board of trustees of CIM RACR, an affiliate of the Company</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and which is sub-advised by OFS Advisor, President and a Senior Managing</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Director of Orchard First Source Capital, Inc. (“OFSC”) and OFS Advisor,</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 of OFSAM Holdings, and a member of</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OFSAM  Holdings’s  executive  committee.  He  also  serves  on  various</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investment committees of OFS Advisor and its affiliates. Mr. Rashid has</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more than 25 years of experience in investment banking, debt capital markets</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and investing. Prior to joining OFSC in 2008, Mr. Rashid was a managing</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director in the global markets and investment banking division at Merrill</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Lynch. Before joining Merrill Lynch in 2005, he was a vice president at</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Natixis Capital Markets, which he joined from Canadian Imperial Bank of</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Commerce (“CIBC”). Prior to CIBC, he worked as an investment analyst in</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the project finance area at the International Finance Corporation, which is</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part of the World Bank. Prior to that, Mr. Rashid was a financial analyst at</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Lehman Brothers. Mr. Rashid has a Bachelor of Science in Electrical</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Engineering from Carnegie Mellon University and an MBA from Columbia</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University. Mr. Rashid’s term as a Class I Director will expire in 2028.</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Through his years of work in investment banking, capital markets and in</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sourcing, leading and managing investments, Mr. Rashid has developed</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expertise  and  skills  that  are  relevant  to  understanding  the  risks  and</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opportunities that we face and which are critical to implementing our</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strategic goals and evaluating our operational performance.</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50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Our Current Directors (Continued)</w:t>
            </w:r>
          </w:p>
        </w:tc>
        <w:tc>
          <w:tcPr>
            <w:tcW w:w="1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18"/>
                <w:szCs w:val="18"/>
                <w:color w:val="auto"/>
              </w:rPr>
            </w:pPr>
          </w:p>
        </w:tc>
        <w:tc>
          <w:tcPr>
            <w:tcW w:w="5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5500" w:type="dxa"/>
            <w:vAlign w:val="bottom"/>
            <w:shd w:val="clear" w:color="auto" w:fill="CCECFF"/>
          </w:tcPr>
          <w:p>
            <w:pPr>
              <w:spacing w:after="0"/>
              <w:rPr>
                <w:sz w:val="21"/>
                <w:szCs w:val="21"/>
                <w:color w:val="auto"/>
              </w:rPr>
            </w:pPr>
          </w:p>
        </w:tc>
        <w:tc>
          <w:tcPr>
            <w:tcW w:w="1460" w:type="dxa"/>
            <w:vAlign w:val="bottom"/>
          </w:tcPr>
          <w:p>
            <w:pPr>
              <w:spacing w:after="0"/>
              <w:rPr>
                <w:sz w:val="21"/>
                <w:szCs w:val="21"/>
                <w:color w:val="auto"/>
              </w:rPr>
            </w:pPr>
          </w:p>
        </w:tc>
        <w:tc>
          <w:tcPr>
            <w:tcW w:w="158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2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We consider Mr. Cerny to be an interested person, as defined in the 1940 Act, because he is a recently retired officer of the</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Company.</w:t>
            </w:r>
          </w:p>
        </w:tc>
        <w:tc>
          <w:tcPr>
            <w:tcW w:w="14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5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260" w:type="dxa"/>
            <w:vAlign w:val="bottom"/>
            <w:tcBorders>
              <w:bottom w:val="single" w:sz="8" w:color="CCECFF"/>
            </w:tcBorders>
          </w:tcPr>
          <w:p>
            <w:pPr>
              <w:spacing w:after="0"/>
              <w:rPr>
                <w:sz w:val="6"/>
                <w:szCs w:val="6"/>
                <w:color w:val="auto"/>
              </w:rPr>
            </w:pPr>
          </w:p>
        </w:tc>
        <w:tc>
          <w:tcPr>
            <w:tcW w:w="1440" w:type="dxa"/>
            <w:vAlign w:val="bottom"/>
            <w:tcBorders>
              <w:bottom w:val="single" w:sz="8" w:color="CCECFF"/>
            </w:tcBorders>
          </w:tcPr>
          <w:p>
            <w:pPr>
              <w:spacing w:after="0"/>
              <w:rPr>
                <w:sz w:val="6"/>
                <w:szCs w:val="6"/>
                <w:color w:val="auto"/>
              </w:rPr>
            </w:pPr>
          </w:p>
        </w:tc>
        <w:tc>
          <w:tcPr>
            <w:tcW w:w="5500" w:type="dxa"/>
            <w:vAlign w:val="bottom"/>
            <w:tcBorders>
              <w:bottom w:val="single" w:sz="8" w:color="CCECFF"/>
            </w:tcBorders>
          </w:tcPr>
          <w:p>
            <w:pPr>
              <w:spacing w:after="0"/>
              <w:rPr>
                <w:sz w:val="6"/>
                <w:szCs w:val="6"/>
                <w:color w:val="auto"/>
              </w:rPr>
            </w:pPr>
          </w:p>
        </w:tc>
        <w:tc>
          <w:tcPr>
            <w:tcW w:w="1460" w:type="dxa"/>
            <w:vAlign w:val="bottom"/>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Portfolios in Fund</w:t>
            </w:r>
          </w:p>
        </w:tc>
        <w:tc>
          <w:tcPr>
            <w:tcW w:w="1580" w:type="dxa"/>
            <w:vAlign w:val="bottom"/>
            <w:tcBorders>
              <w:bottom w:val="single" w:sz="8" w:color="CCECFF"/>
            </w:tcBorders>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260" w:type="dxa"/>
            <w:vAlign w:val="bottom"/>
            <w:shd w:val="clear" w:color="auto" w:fill="CCECFF"/>
          </w:tcPr>
          <w:p>
            <w:pPr>
              <w:ind w:left="100"/>
              <w:spacing w:after="0" w:line="146" w:lineRule="exact"/>
              <w:rPr>
                <w:sz w:val="20"/>
                <w:szCs w:val="20"/>
                <w:color w:val="auto"/>
              </w:rPr>
            </w:pPr>
            <w:r>
              <w:rPr>
                <w:rFonts w:ascii="Times New Roman" w:cs="Times New Roman" w:eastAsia="Times New Roman" w:hAnsi="Times New Roman"/>
                <w:sz w:val="16"/>
                <w:szCs w:val="16"/>
                <w:b w:val="1"/>
                <w:bCs w:val="1"/>
                <w:color w:val="auto"/>
              </w:rPr>
              <w:t>Name,</w:t>
            </w:r>
          </w:p>
        </w:tc>
        <w:tc>
          <w:tcPr>
            <w:tcW w:w="1440" w:type="dxa"/>
            <w:vAlign w:val="bottom"/>
            <w:shd w:val="clear" w:color="auto" w:fill="CCECFF"/>
          </w:tcPr>
          <w:p>
            <w:pPr>
              <w:ind w:left="100"/>
              <w:spacing w:after="0" w:line="146" w:lineRule="exact"/>
              <w:rPr>
                <w:sz w:val="20"/>
                <w:szCs w:val="20"/>
                <w:color w:val="auto"/>
              </w:rPr>
            </w:pPr>
            <w:r>
              <w:rPr>
                <w:rFonts w:ascii="Times New Roman" w:cs="Times New Roman" w:eastAsia="Times New Roman" w:hAnsi="Times New Roman"/>
                <w:sz w:val="16"/>
                <w:szCs w:val="16"/>
                <w:b w:val="1"/>
                <w:bCs w:val="1"/>
                <w:color w:val="auto"/>
              </w:rPr>
              <w:t>Term of Office</w:t>
            </w:r>
          </w:p>
        </w:tc>
        <w:tc>
          <w:tcPr>
            <w:tcW w:w="5500" w:type="dxa"/>
            <w:vAlign w:val="bottom"/>
            <w:shd w:val="clear" w:color="auto" w:fill="CCECFF"/>
          </w:tcPr>
          <w:p>
            <w:pPr>
              <w:spacing w:after="0"/>
              <w:rPr>
                <w:sz w:val="12"/>
                <w:szCs w:val="12"/>
                <w:color w:val="auto"/>
              </w:rPr>
            </w:pPr>
          </w:p>
        </w:tc>
        <w:tc>
          <w:tcPr>
            <w:tcW w:w="14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Complex Overseen</w:t>
            </w:r>
          </w:p>
        </w:tc>
        <w:tc>
          <w:tcPr>
            <w:tcW w:w="15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CFF"/>
          </w:tcPr>
          <w:p>
            <w:pPr>
              <w:ind w:left="100"/>
              <w:spacing w:after="0" w:line="162" w:lineRule="exact"/>
              <w:rPr>
                <w:sz w:val="20"/>
                <w:szCs w:val="20"/>
                <w:color w:val="auto"/>
              </w:rPr>
            </w:pPr>
            <w:r>
              <w:rPr>
                <w:rFonts w:ascii="Times New Roman" w:cs="Times New Roman" w:eastAsia="Times New Roman" w:hAnsi="Times New Roman"/>
                <w:sz w:val="16"/>
                <w:szCs w:val="16"/>
                <w:b w:val="1"/>
                <w:bCs w:val="1"/>
                <w:color w:val="auto"/>
              </w:rPr>
              <w:t>Address(1) and</w:t>
            </w:r>
          </w:p>
        </w:tc>
        <w:tc>
          <w:tcPr>
            <w:tcW w:w="1440" w:type="dxa"/>
            <w:vAlign w:val="bottom"/>
            <w:shd w:val="clear" w:color="auto" w:fill="CCECFF"/>
          </w:tcPr>
          <w:p>
            <w:pPr>
              <w:ind w:left="100"/>
              <w:spacing w:after="0" w:line="162" w:lineRule="exact"/>
              <w:rPr>
                <w:sz w:val="20"/>
                <w:szCs w:val="20"/>
                <w:color w:val="auto"/>
              </w:rPr>
            </w:pPr>
            <w:r>
              <w:rPr>
                <w:rFonts w:ascii="Times New Roman" w:cs="Times New Roman" w:eastAsia="Times New Roman" w:hAnsi="Times New Roman"/>
                <w:sz w:val="16"/>
                <w:szCs w:val="16"/>
                <w:b w:val="1"/>
                <w:bCs w:val="1"/>
                <w:color w:val="auto"/>
              </w:rPr>
              <w:t>and Length of</w:t>
            </w:r>
          </w:p>
        </w:tc>
        <w:tc>
          <w:tcPr>
            <w:tcW w:w="550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6"/>
                <w:szCs w:val="16"/>
                <w:b w:val="1"/>
                <w:bCs w:val="1"/>
                <w:color w:val="auto"/>
              </w:rPr>
              <w:t>Position(s) Held with Fund, Principal Occupation and Other Business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by Director or</w:t>
            </w:r>
          </w:p>
        </w:tc>
        <w:tc>
          <w:tcPr>
            <w:tcW w:w="1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b w:val="1"/>
                <w:bCs w:val="1"/>
                <w:color w:val="auto"/>
              </w:rPr>
              <w:t>Other Directorships</w:t>
            </w:r>
          </w:p>
        </w:tc>
        <w:tc>
          <w:tcPr>
            <w:tcW w:w="0" w:type="dxa"/>
            <w:vAlign w:val="bottom"/>
          </w:tcPr>
          <w:p>
            <w:pPr>
              <w:spacing w:after="0"/>
              <w:rPr>
                <w:sz w:val="1"/>
                <w:szCs w:val="1"/>
                <w:color w:val="auto"/>
              </w:rPr>
            </w:pPr>
          </w:p>
        </w:tc>
      </w:tr>
      <w:tr>
        <w:trPr>
          <w:trHeight w:val="92"/>
        </w:trPr>
        <w:tc>
          <w:tcPr>
            <w:tcW w:w="1260" w:type="dxa"/>
            <w:vAlign w:val="bottom"/>
            <w:vMerge w:val="restart"/>
            <w:shd w:val="clear" w:color="auto" w:fill="CCECFF"/>
          </w:tcPr>
          <w:p>
            <w:pPr>
              <w:ind w:left="100"/>
              <w:spacing w:after="0"/>
              <w:rPr>
                <w:sz w:val="20"/>
                <w:szCs w:val="20"/>
                <w:color w:val="auto"/>
              </w:rPr>
            </w:pPr>
            <w:r>
              <w:rPr>
                <w:rFonts w:ascii="Times New Roman" w:cs="Times New Roman" w:eastAsia="Times New Roman" w:hAnsi="Times New Roman"/>
                <w:sz w:val="16"/>
                <w:szCs w:val="16"/>
                <w:b w:val="1"/>
                <w:bCs w:val="1"/>
                <w:color w:val="auto"/>
              </w:rPr>
              <w:t>Age</w:t>
            </w:r>
          </w:p>
        </w:tc>
        <w:tc>
          <w:tcPr>
            <w:tcW w:w="1440" w:type="dxa"/>
            <w:vAlign w:val="bottom"/>
            <w:vMerge w:val="restart"/>
            <w:shd w:val="clear" w:color="auto" w:fill="CCECFF"/>
          </w:tcPr>
          <w:p>
            <w:pPr>
              <w:ind w:left="100"/>
              <w:spacing w:after="0"/>
              <w:rPr>
                <w:sz w:val="20"/>
                <w:szCs w:val="20"/>
                <w:color w:val="auto"/>
              </w:rPr>
            </w:pPr>
            <w:r>
              <w:rPr>
                <w:rFonts w:ascii="Times New Roman" w:cs="Times New Roman" w:eastAsia="Times New Roman" w:hAnsi="Times New Roman"/>
                <w:sz w:val="16"/>
                <w:szCs w:val="16"/>
                <w:b w:val="1"/>
                <w:bCs w:val="1"/>
                <w:color w:val="auto"/>
              </w:rPr>
              <w:t>Time Served</w:t>
            </w:r>
          </w:p>
        </w:tc>
        <w:tc>
          <w:tcPr>
            <w:tcW w:w="5500" w:type="dxa"/>
            <w:vAlign w:val="bottom"/>
            <w:vMerge w:val="continue"/>
            <w:shd w:val="clear" w:color="auto" w:fill="CCECFF"/>
          </w:tcPr>
          <w:p>
            <w:pPr>
              <w:spacing w:after="0"/>
              <w:rPr>
                <w:sz w:val="8"/>
                <w:szCs w:val="8"/>
                <w:color w:val="auto"/>
              </w:rPr>
            </w:pPr>
          </w:p>
        </w:tc>
        <w:tc>
          <w:tcPr>
            <w:tcW w:w="14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Nominees for</w:t>
            </w:r>
          </w:p>
        </w:tc>
        <w:tc>
          <w:tcPr>
            <w:tcW w:w="1580" w:type="dxa"/>
            <w:vAlign w:val="bottom"/>
            <w:vMerge w:val="restart"/>
            <w:shd w:val="clear" w:color="auto" w:fill="CCECFF"/>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Held by Director or</w:t>
            </w:r>
          </w:p>
        </w:tc>
        <w:tc>
          <w:tcPr>
            <w:tcW w:w="0" w:type="dxa"/>
            <w:vAlign w:val="bottom"/>
          </w:tcPr>
          <w:p>
            <w:pPr>
              <w:spacing w:after="0"/>
              <w:rPr>
                <w:sz w:val="1"/>
                <w:szCs w:val="1"/>
                <w:color w:val="auto"/>
              </w:rPr>
            </w:pPr>
          </w:p>
        </w:tc>
      </w:tr>
      <w:tr>
        <w:trPr>
          <w:trHeight w:val="45"/>
        </w:trPr>
        <w:tc>
          <w:tcPr>
            <w:tcW w:w="1260" w:type="dxa"/>
            <w:vAlign w:val="bottom"/>
            <w:vMerge w:val="continue"/>
            <w:shd w:val="clear" w:color="auto" w:fill="CCECFF"/>
          </w:tcPr>
          <w:p>
            <w:pPr>
              <w:spacing w:after="0"/>
              <w:rPr>
                <w:sz w:val="3"/>
                <w:szCs w:val="3"/>
                <w:color w:val="auto"/>
              </w:rPr>
            </w:pPr>
          </w:p>
        </w:tc>
        <w:tc>
          <w:tcPr>
            <w:tcW w:w="1440" w:type="dxa"/>
            <w:vAlign w:val="bottom"/>
            <w:vMerge w:val="continue"/>
            <w:shd w:val="clear" w:color="auto" w:fill="CCECFF"/>
          </w:tcPr>
          <w:p>
            <w:pPr>
              <w:spacing w:after="0"/>
              <w:rPr>
                <w:sz w:val="3"/>
                <w:szCs w:val="3"/>
                <w:color w:val="auto"/>
              </w:rPr>
            </w:pPr>
          </w:p>
        </w:tc>
        <w:tc>
          <w:tcPr>
            <w:tcW w:w="550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6"/>
                <w:szCs w:val="16"/>
                <w:b w:val="1"/>
                <w:bCs w:val="1"/>
                <w:color w:val="auto"/>
              </w:rPr>
              <w:t>Experience During the Past Five Years</w:t>
            </w:r>
          </w:p>
        </w:tc>
        <w:tc>
          <w:tcPr>
            <w:tcW w:w="1460" w:type="dxa"/>
            <w:vAlign w:val="bottom"/>
            <w:vMerge w:val="continue"/>
          </w:tcPr>
          <w:p>
            <w:pPr>
              <w:spacing w:after="0"/>
              <w:rPr>
                <w:sz w:val="3"/>
                <w:szCs w:val="3"/>
                <w:color w:val="auto"/>
              </w:rPr>
            </w:pPr>
          </w:p>
        </w:tc>
        <w:tc>
          <w:tcPr>
            <w:tcW w:w="1580" w:type="dxa"/>
            <w:vAlign w:val="bottom"/>
            <w:vMerge w:val="continue"/>
            <w:shd w:val="clear" w:color="auto" w:fill="CCECFF"/>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260" w:type="dxa"/>
            <w:vAlign w:val="bottom"/>
            <w:tcBorders>
              <w:bottom w:val="single" w:sz="8" w:color="CCECFF"/>
            </w:tcBorders>
            <w:vMerge w:val="continue"/>
            <w:shd w:val="clear" w:color="auto" w:fill="CCECFF"/>
          </w:tcPr>
          <w:p>
            <w:pPr>
              <w:spacing w:after="0"/>
              <w:rPr>
                <w:sz w:val="15"/>
                <w:szCs w:val="15"/>
                <w:color w:val="auto"/>
              </w:rPr>
            </w:pPr>
          </w:p>
        </w:tc>
        <w:tc>
          <w:tcPr>
            <w:tcW w:w="1440" w:type="dxa"/>
            <w:vAlign w:val="bottom"/>
            <w:tcBorders>
              <w:bottom w:val="single" w:sz="8" w:color="CCECFF"/>
            </w:tcBorders>
            <w:vMerge w:val="continue"/>
            <w:shd w:val="clear" w:color="auto" w:fill="CCECFF"/>
          </w:tcPr>
          <w:p>
            <w:pPr>
              <w:spacing w:after="0"/>
              <w:rPr>
                <w:sz w:val="15"/>
                <w:szCs w:val="15"/>
                <w:color w:val="auto"/>
              </w:rPr>
            </w:pPr>
          </w:p>
        </w:tc>
        <w:tc>
          <w:tcPr>
            <w:tcW w:w="5500" w:type="dxa"/>
            <w:vAlign w:val="bottom"/>
            <w:tcBorders>
              <w:bottom w:val="single" w:sz="8" w:color="CCECFF"/>
            </w:tcBorders>
            <w:vMerge w:val="continue"/>
            <w:shd w:val="clear" w:color="auto" w:fill="CCECFF"/>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Director(2)</w:t>
            </w:r>
          </w:p>
        </w:tc>
        <w:tc>
          <w:tcPr>
            <w:tcW w:w="158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b w:val="1"/>
                <w:bCs w:val="1"/>
                <w:color w:val="auto"/>
              </w:rPr>
              <w:t>Nominee for Director</w:t>
            </w:r>
          </w:p>
        </w:tc>
        <w:tc>
          <w:tcPr>
            <w:tcW w:w="0" w:type="dxa"/>
            <w:vAlign w:val="bottom"/>
          </w:tcPr>
          <w:p>
            <w:pPr>
              <w:spacing w:after="0"/>
              <w:rPr>
                <w:sz w:val="1"/>
                <w:szCs w:val="1"/>
                <w:color w:val="auto"/>
              </w:rPr>
            </w:pPr>
          </w:p>
        </w:tc>
      </w:tr>
      <w:tr>
        <w:trPr>
          <w:trHeight w:val="182"/>
        </w:trPr>
        <w:tc>
          <w:tcPr>
            <w:tcW w:w="1260" w:type="dxa"/>
            <w:vAlign w:val="bottom"/>
            <w:tcBorders>
              <w:top w:val="single" w:sz="8" w:color="auto"/>
            </w:tcBorders>
          </w:tcPr>
          <w:p>
            <w:pPr>
              <w:ind w:left="100"/>
              <w:spacing w:after="0" w:line="182" w:lineRule="exact"/>
              <w:rPr>
                <w:sz w:val="20"/>
                <w:szCs w:val="20"/>
                <w:color w:val="auto"/>
              </w:rPr>
            </w:pPr>
            <w:r>
              <w:rPr>
                <w:rFonts w:ascii="Times New Roman" w:cs="Times New Roman" w:eastAsia="Times New Roman" w:hAnsi="Times New Roman"/>
                <w:sz w:val="16"/>
                <w:szCs w:val="16"/>
                <w:color w:val="auto"/>
              </w:rPr>
              <w:t>Jeffrey A.</w:t>
            </w:r>
          </w:p>
        </w:tc>
        <w:tc>
          <w:tcPr>
            <w:tcW w:w="1440" w:type="dxa"/>
            <w:vAlign w:val="bottom"/>
            <w:tcBorders>
              <w:top w:val="single" w:sz="8" w:color="auto"/>
            </w:tcBorders>
          </w:tcPr>
          <w:p>
            <w:pPr>
              <w:ind w:left="100"/>
              <w:spacing w:after="0" w:line="182" w:lineRule="exact"/>
              <w:rPr>
                <w:sz w:val="20"/>
                <w:szCs w:val="20"/>
                <w:color w:val="auto"/>
              </w:rPr>
            </w:pPr>
            <w:r>
              <w:rPr>
                <w:rFonts w:ascii="Times New Roman" w:cs="Times New Roman" w:eastAsia="Times New Roman" w:hAnsi="Times New Roman"/>
                <w:sz w:val="16"/>
                <w:szCs w:val="16"/>
                <w:color w:val="auto"/>
              </w:rPr>
              <w:t>Director since</w:t>
            </w:r>
          </w:p>
        </w:tc>
        <w:tc>
          <w:tcPr>
            <w:tcW w:w="5500" w:type="dxa"/>
            <w:vAlign w:val="bottom"/>
            <w:tcBorders>
              <w:top w:val="single" w:sz="8" w:color="auto"/>
            </w:tcBorders>
          </w:tcPr>
          <w:p>
            <w:pPr>
              <w:ind w:left="140"/>
              <w:spacing w:after="0" w:line="182" w:lineRule="exact"/>
              <w:rPr>
                <w:sz w:val="20"/>
                <w:szCs w:val="20"/>
                <w:color w:val="auto"/>
              </w:rPr>
            </w:pPr>
            <w:r>
              <w:rPr>
                <w:rFonts w:ascii="Times New Roman" w:cs="Times New Roman" w:eastAsia="Times New Roman" w:hAnsi="Times New Roman"/>
                <w:sz w:val="16"/>
                <w:szCs w:val="16"/>
                <w:color w:val="auto"/>
              </w:rPr>
              <w:t>Mr. Cerny currently serves on the board of directors of the Company and OFS</w:t>
            </w:r>
          </w:p>
        </w:tc>
        <w:tc>
          <w:tcPr>
            <w:tcW w:w="146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Cerny</w:t>
            </w:r>
          </w:p>
        </w:tc>
        <w:tc>
          <w:tcPr>
            <w:tcW w:w="1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2017; term expires</w:t>
            </w:r>
          </w:p>
        </w:tc>
        <w:tc>
          <w:tcPr>
            <w:tcW w:w="5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Prior to his retirement on March 31, 2025, Mr. Cerny served in various</w:t>
            </w:r>
          </w:p>
        </w:tc>
        <w:tc>
          <w:tcPr>
            <w:tcW w:w="1460" w:type="dxa"/>
            <w:vAlign w:val="bottom"/>
            <w:vMerge w:val="restart"/>
          </w:tcPr>
          <w:p>
            <w:pPr>
              <w:jc w:val="right"/>
              <w:ind w:right="611"/>
              <w:spacing w:after="0"/>
              <w:rPr>
                <w:sz w:val="20"/>
                <w:szCs w:val="20"/>
                <w:color w:val="auto"/>
              </w:rPr>
            </w:pPr>
            <w:r>
              <w:rPr>
                <w:rFonts w:ascii="Times New Roman" w:cs="Times New Roman" w:eastAsia="Times New Roman" w:hAnsi="Times New Roman"/>
                <w:sz w:val="16"/>
                <w:szCs w:val="16"/>
                <w:color w:val="auto"/>
              </w:rPr>
              <w:t>2</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OFS Capital</w:t>
            </w:r>
          </w:p>
        </w:tc>
        <w:tc>
          <w:tcPr>
            <w:tcW w:w="0" w:type="dxa"/>
            <w:vAlign w:val="bottom"/>
          </w:tcPr>
          <w:p>
            <w:pPr>
              <w:spacing w:after="0"/>
              <w:rPr>
                <w:sz w:val="1"/>
                <w:szCs w:val="1"/>
                <w:color w:val="auto"/>
              </w:rPr>
            </w:pPr>
          </w:p>
        </w:tc>
      </w:tr>
      <w:tr>
        <w:trPr>
          <w:trHeight w:val="54"/>
        </w:trPr>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Age: 63</w:t>
            </w:r>
          </w:p>
        </w:tc>
        <w:tc>
          <w:tcPr>
            <w:tcW w:w="14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2027</w:t>
            </w:r>
          </w:p>
        </w:tc>
        <w:tc>
          <w:tcPr>
            <w:tcW w:w="55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officer positions for OCCI, OFS Capital, Hancock Park, OFS Advisor, OFSC,</w:t>
            </w:r>
          </w:p>
        </w:tc>
        <w:tc>
          <w:tcPr>
            <w:tcW w:w="1460" w:type="dxa"/>
            <w:vAlign w:val="bottom"/>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5500" w:type="dxa"/>
            <w:vAlign w:val="bottom"/>
            <w:vMerge w:val="continue"/>
          </w:tcPr>
          <w:p>
            <w:pPr>
              <w:spacing w:after="0"/>
              <w:rPr>
                <w:sz w:val="13"/>
                <w:szCs w:val="13"/>
                <w:color w:val="auto"/>
              </w:rPr>
            </w:pPr>
          </w:p>
        </w:tc>
        <w:tc>
          <w:tcPr>
            <w:tcW w:w="1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840"/>
        <w:spacing w:after="0"/>
        <w:tabs>
          <w:tab w:leader="none" w:pos="3500" w:val="left"/>
          <w:tab w:leader="none" w:pos="4220" w:val="left"/>
          <w:tab w:leader="none" w:pos="4600" w:val="left"/>
          <w:tab w:leader="none" w:pos="5260" w:val="left"/>
          <w:tab w:leader="none" w:pos="5680" w:val="left"/>
          <w:tab w:leader="none" w:pos="6260" w:val="left"/>
          <w:tab w:leader="none" w:pos="6760" w:val="left"/>
          <w:tab w:leader="none" w:pos="7780" w:val="left"/>
        </w:tabs>
        <w:rPr>
          <w:sz w:val="20"/>
          <w:szCs w:val="20"/>
          <w:color w:val="auto"/>
        </w:rPr>
      </w:pPr>
      <w:r>
        <w:rPr>
          <w:rFonts w:ascii="Times New Roman" w:cs="Times New Roman" w:eastAsia="Times New Roman" w:hAnsi="Times New Roman"/>
          <w:sz w:val="16"/>
          <w:szCs w:val="16"/>
          <w:color w:val="auto"/>
        </w:rPr>
        <w:t>OFSAM</w:t>
        <w:tab/>
        <w:t>Holdings</w:t>
        <w:tab/>
        <w:t>and</w:t>
        <w:tab/>
        <w:t>Orchard</w:t>
        <w:tab/>
        <w:t>First</w:t>
        <w:tab/>
        <w:t>Source</w:t>
        <w:tab/>
        <w:t>Asset</w:t>
        <w:tab/>
        <w:t>Management,</w:t>
      </w:r>
      <w:r>
        <w:rPr>
          <w:sz w:val="20"/>
          <w:szCs w:val="20"/>
          <w:color w:val="auto"/>
        </w:rPr>
        <w:tab/>
      </w:r>
      <w:r>
        <w:rPr>
          <w:rFonts w:ascii="Times New Roman" w:cs="Times New Roman" w:eastAsia="Times New Roman" w:hAnsi="Times New Roman"/>
          <w:sz w:val="15"/>
          <w:szCs w:val="15"/>
          <w:color w:val="auto"/>
        </w:rPr>
        <w:t>LLC</w:t>
      </w:r>
    </w:p>
    <w:p>
      <w:pPr>
        <w:spacing w:after="0" w:line="1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color w:val="auto"/>
        </w:rPr>
        <w:t>(“OFSAM”). Prior to joining OFSC in 1999, Mr. Cerny held various positions at</w:t>
      </w:r>
    </w:p>
    <w:p>
      <w:pPr>
        <w:spacing w:after="0" w:line="1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color w:val="auto"/>
        </w:rPr>
        <w:t>Sanwa  Business  Credit  Corporation,  American  National  Bank  and  Trust</w:t>
      </w:r>
    </w:p>
    <w:p>
      <w:pPr>
        <w:spacing w:after="0" w:line="1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color w:val="auto"/>
        </w:rPr>
        <w:t>Company of Chicago and Charter Bank Group, a multi-bank holding company.</w:t>
      </w:r>
    </w:p>
    <w:p>
      <w:pPr>
        <w:spacing w:after="0" w:line="1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color w:val="auto"/>
        </w:rPr>
        <w:t>Mr. Cerny holds a Bachelor of Science in Finance from Northern Illinois</w:t>
      </w:r>
    </w:p>
    <w:p>
      <w:pPr>
        <w:spacing w:after="0" w:line="1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color w:val="auto"/>
        </w:rPr>
        <w:t>University,  a  Masters  of  Management  in  Finance  and  Economics  from</w:t>
      </w:r>
    </w:p>
    <w:p>
      <w:pPr>
        <w:spacing w:after="0" w:line="1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color w:val="auto"/>
        </w:rPr>
        <w:t>Northwestern University’s J.L. Kellogg School of Management, and a J.D. from</w:t>
      </w:r>
    </w:p>
    <w:p>
      <w:pPr>
        <w:spacing w:after="0" w:line="1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color w:val="auto"/>
        </w:rPr>
        <w:t>DePaul University’s School of Law. Mr. Cerny is NACD (National Association</w:t>
      </w:r>
    </w:p>
    <w:p>
      <w:pPr>
        <w:spacing w:after="0" w:line="1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color w:val="auto"/>
        </w:rPr>
        <w:t>of Corporate Directors) Directorship Certified™ and has received a CERT</w:t>
      </w:r>
    </w:p>
    <w:p>
      <w:pPr>
        <w:spacing w:after="0" w:line="1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color w:val="auto"/>
        </w:rPr>
        <w:t>Certificate in Cyber Oversight through the NACD’s Cyber Oversight Program.</w:t>
      </w:r>
    </w:p>
    <w:p>
      <w:pPr>
        <w:spacing w:after="0" w:line="1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color w:val="auto"/>
        </w:rPr>
        <w:t>Mr. Cerny’s term as a Class III director will expire in 2027.</w:t>
      </w:r>
    </w:p>
    <w:p>
      <w:pPr>
        <w:spacing w:after="0" w:line="6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color w:val="auto"/>
        </w:rPr>
        <w:t>Mr. Cerny brings to our board of directors extensive accounting and financial</w:t>
      </w:r>
    </w:p>
    <w:p>
      <w:pPr>
        <w:spacing w:after="0" w:line="2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color w:val="auto"/>
        </w:rPr>
        <w:t>experience and expertise. He is also an experienced investor, including lending,</w:t>
      </w:r>
    </w:p>
    <w:p>
      <w:pPr>
        <w:spacing w:after="0" w:line="1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color w:val="auto"/>
        </w:rPr>
        <w:t>structuring and workouts which makes him an asset to our board of directors.</w:t>
      </w:r>
    </w:p>
    <w:p>
      <w:pPr>
        <w:spacing w:after="0" w:line="1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color w:val="auto"/>
        </w:rPr>
        <w:t>The breadth of his background and experience enables Mr. Cerny to provide</w:t>
      </w:r>
    </w:p>
    <w:p>
      <w:pPr>
        <w:spacing w:after="0" w:line="1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color w:val="auto"/>
        </w:rPr>
        <w:t>unique insight into our strategic process and into the management of our</w:t>
      </w:r>
    </w:p>
    <w:p>
      <w:pPr>
        <w:spacing w:after="0" w:line="1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color w:val="auto"/>
        </w:rPr>
        <w:t>investment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2286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65" w:lineRule="exact"/>
        <w:rPr>
          <w:sz w:val="20"/>
          <w:szCs w:val="20"/>
          <w:color w:val="auto"/>
        </w:rPr>
      </w:pPr>
    </w:p>
    <w:p>
      <w:pPr>
        <w:ind w:left="300" w:hanging="292"/>
        <w:spacing w:after="0"/>
        <w:tabs>
          <w:tab w:leader="none" w:pos="3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each director is 222 West Adams Street, Suite 1850, Chicago, IL 60606.</w:t>
      </w:r>
    </w:p>
    <w:p>
      <w:pPr>
        <w:spacing w:after="0" w:line="3" w:lineRule="exact"/>
        <w:rPr>
          <w:rFonts w:ascii="Times New Roman" w:cs="Times New Roman" w:eastAsia="Times New Roman" w:hAnsi="Times New Roman"/>
          <w:sz w:val="14"/>
          <w:szCs w:val="14"/>
          <w:color w:val="auto"/>
        </w:rPr>
      </w:pPr>
    </w:p>
    <w:p>
      <w:pPr>
        <w:ind w:left="300" w:hanging="292"/>
        <w:spacing w:after="0" w:line="221" w:lineRule="auto"/>
        <w:tabs>
          <w:tab w:leader="none" w:pos="3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“Fund Complex” includes the Company, Hancock Park and OFS Capital, each of which is advised by OFS Advisor, and CIM RACR, which is sub-advised by OFS Advisor.</w:t>
      </w:r>
    </w:p>
    <w:p>
      <w:pPr>
        <w:ind w:left="300" w:hanging="292"/>
        <w:spacing w:after="0" w:line="221" w:lineRule="auto"/>
        <w:tabs>
          <w:tab w:leader="none" w:pos="3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ind w:left="300" w:hanging="292"/>
        <w:spacing w:after="0" w:line="221" w:lineRule="auto"/>
        <w:tabs>
          <w:tab w:leader="none" w:pos="3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ind w:left="300" w:hanging="292"/>
        <w:spacing w:after="0" w:line="221" w:lineRule="auto"/>
        <w:tabs>
          <w:tab w:leader="none" w:pos="3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w:t>
      </w:r>
    </w:p>
    <w:p>
      <w:pPr>
        <w:ind w:left="300" w:hanging="292"/>
        <w:spacing w:after="0"/>
        <w:tabs>
          <w:tab w:leader="none" w:pos="3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Preferred Stock director.</w:t>
      </w:r>
    </w:p>
    <w:p>
      <w:pPr>
        <w:spacing w:after="0" w:line="340" w:lineRule="exact"/>
        <w:rPr>
          <w:sz w:val="20"/>
          <w:szCs w:val="20"/>
          <w:color w:val="auto"/>
        </w:rPr>
      </w:pPr>
    </w:p>
    <w:p>
      <w:pPr>
        <w:jc w:val="both"/>
        <w:ind w:left="380" w:right="380" w:firstLine="723"/>
        <w:spacing w:after="0" w:line="266" w:lineRule="auto"/>
        <w:rPr>
          <w:sz w:val="20"/>
          <w:szCs w:val="20"/>
          <w:color w:val="auto"/>
        </w:rPr>
      </w:pPr>
      <w:r>
        <w:rPr>
          <w:rFonts w:ascii="Times New Roman" w:cs="Times New Roman" w:eastAsia="Times New Roman" w:hAnsi="Times New Roman"/>
          <w:sz w:val="18"/>
          <w:szCs w:val="18"/>
          <w:color w:val="auto"/>
        </w:rPr>
        <w:t>No director or executive officer is related by blood, marriage or adoption to any other director or officer. No arrangements or understandings exist between any director or person nominated for election as a director and any other person pursuant to which such person is to be selected as a director or nominee for election as a director.</w:t>
      </w:r>
    </w:p>
    <w:p>
      <w:pPr>
        <w:spacing w:after="0" w:line="68" w:lineRule="exact"/>
        <w:rPr>
          <w:sz w:val="20"/>
          <w:szCs w:val="20"/>
          <w:color w:val="auto"/>
        </w:rPr>
      </w:pPr>
    </w:p>
    <w:p>
      <w:pPr>
        <w:jc w:val="both"/>
        <w:ind w:left="380" w:right="380" w:firstLine="723"/>
        <w:spacing w:after="0" w:line="282" w:lineRule="auto"/>
        <w:rPr>
          <w:sz w:val="20"/>
          <w:szCs w:val="20"/>
          <w:color w:val="auto"/>
        </w:rPr>
      </w:pPr>
      <w:r>
        <w:rPr>
          <w:rFonts w:ascii="Times New Roman" w:cs="Times New Roman" w:eastAsia="Times New Roman" w:hAnsi="Times New Roman"/>
          <w:sz w:val="18"/>
          <w:szCs w:val="18"/>
          <w:color w:val="auto"/>
        </w:rPr>
        <w:t>There were no legal proceedings of the type described in Items 401(f)(7) and (8) of Regulation S-K in the past 10 years against any of our directors, director nominees or officers, and none are currently pending.</w:t>
      </w:r>
    </w:p>
    <w:p>
      <w:pPr>
        <w:spacing w:after="0" w:line="162" w:lineRule="exact"/>
        <w:rPr>
          <w:sz w:val="20"/>
          <w:szCs w:val="20"/>
          <w:color w:val="auto"/>
        </w:rPr>
      </w:pPr>
    </w:p>
    <w:p>
      <w:pPr>
        <w:jc w:val="both"/>
        <w:ind w:left="380" w:right="380" w:firstLine="723"/>
        <w:spacing w:after="0" w:line="266" w:lineRule="auto"/>
        <w:rPr>
          <w:sz w:val="20"/>
          <w:szCs w:val="20"/>
          <w:color w:val="auto"/>
        </w:rPr>
      </w:pPr>
      <w:r>
        <w:rPr>
          <w:rFonts w:ascii="Times New Roman" w:cs="Times New Roman" w:eastAsia="Times New Roman" w:hAnsi="Times New Roman"/>
          <w:sz w:val="18"/>
          <w:szCs w:val="18"/>
          <w:color w:val="auto"/>
        </w:rPr>
        <w:t>For information relating to shares of our Common Stock or Preferred Stock owned by each of our directors, see the disclosure set forth under the headings “Fiscal Year 2025 Director Compensation” and “Security Ownership of Certain Beneficial Owners and Management and Related Stockholder Matters.”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Required Vote</w:t>
      </w:r>
    </w:p>
    <w:p>
      <w:pPr>
        <w:spacing w:after="0" w:line="121" w:lineRule="exact"/>
        <w:rPr>
          <w:sz w:val="20"/>
          <w:szCs w:val="20"/>
          <w:color w:val="auto"/>
        </w:rPr>
      </w:pPr>
    </w:p>
    <w:p>
      <w:pPr>
        <w:jc w:val="both"/>
        <w:ind w:left="380" w:right="380" w:firstLine="723"/>
        <w:spacing w:after="0" w:line="258" w:lineRule="auto"/>
        <w:rPr>
          <w:sz w:val="20"/>
          <w:szCs w:val="20"/>
          <w:color w:val="auto"/>
        </w:rPr>
      </w:pPr>
      <w:r>
        <w:rPr>
          <w:rFonts w:ascii="Times New Roman" w:cs="Times New Roman" w:eastAsia="Times New Roman" w:hAnsi="Times New Roman"/>
          <w:sz w:val="18"/>
          <w:szCs w:val="18"/>
          <w:color w:val="231F20"/>
        </w:rPr>
        <w:t>For the election of Ms. Kate M. Fitta, the affirmative vote of the holders of a plurality of the shares of Common Stock and Preferred Stock, voting together as a single class, represented at the Annual Meeting will be required, provided a quorum is present in person or by proxy. For the election of Ms. Romita Shetty, the affirmative vote of the holders of a plurality of the shares of Preferred Stock, voting as a single class, represented at the Annual Meeting will be required, provided a quorum of the holders of Preferred Stock is present in person or by proxy. Votes that are withheld will have no effect on the outcome of the vote on this proposal.</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231F20"/>
        </w:rPr>
        <w:t>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723"/>
        <w:spacing w:after="0" w:line="266" w:lineRule="auto"/>
        <w:rPr>
          <w:sz w:val="20"/>
          <w:szCs w:val="20"/>
          <w:color w:val="auto"/>
        </w:rPr>
      </w:pPr>
      <w:r>
        <w:rPr>
          <w:rFonts w:ascii="Times New Roman" w:cs="Times New Roman" w:eastAsia="Times New Roman" w:hAnsi="Times New Roman"/>
          <w:sz w:val="18"/>
          <w:szCs w:val="18"/>
          <w:color w:val="auto"/>
        </w:rPr>
        <w:t>We believe that good corporate governance is important to ensure that OFS Credit is managed for the long-term benefit of our stockholders. During the past year, we have continued to review our corporate governance policies and practices and to compare them to those suggested by various authorities in corporate governance and the practices of other public companies.</w:t>
      </w:r>
    </w:p>
    <w:p>
      <w:pPr>
        <w:spacing w:after="0" w:line="68" w:lineRule="exact"/>
        <w:rPr>
          <w:sz w:val="20"/>
          <w:szCs w:val="20"/>
          <w:color w:val="auto"/>
        </w:rPr>
      </w:pPr>
    </w:p>
    <w:p>
      <w:pPr>
        <w:jc w:val="both"/>
        <w:ind w:firstLine="723"/>
        <w:spacing w:after="0" w:line="261" w:lineRule="auto"/>
        <w:rPr>
          <w:sz w:val="20"/>
          <w:szCs w:val="20"/>
          <w:color w:val="auto"/>
        </w:rPr>
      </w:pPr>
      <w:r>
        <w:rPr>
          <w:rFonts w:ascii="Times New Roman" w:cs="Times New Roman" w:eastAsia="Times New Roman" w:hAnsi="Times New Roman"/>
          <w:sz w:val="18"/>
          <w:szCs w:val="18"/>
          <w:color w:val="auto"/>
        </w:rPr>
        <w:t xml:space="preserve">This section describes key corporate governance practices that we have adopted. Complete copies of our committee charters, code of business conduct and code of ethics are available in the “Corporate Governance” section of our website at </w:t>
      </w:r>
      <w:r>
        <w:rPr>
          <w:rFonts w:ascii="Times New Roman" w:cs="Times New Roman" w:eastAsia="Times New Roman" w:hAnsi="Times New Roman"/>
          <w:sz w:val="18"/>
          <w:szCs w:val="18"/>
          <w:i w:val="1"/>
          <w:iCs w:val="1"/>
          <w:color w:val="auto"/>
        </w:rPr>
        <w:t>www.ofscreditcompany.com</w:t>
      </w:r>
      <w:r>
        <w:rPr>
          <w:rFonts w:ascii="Times New Roman" w:cs="Times New Roman" w:eastAsia="Times New Roman" w:hAnsi="Times New Roman"/>
          <w:sz w:val="18"/>
          <w:szCs w:val="18"/>
          <w:color w:val="auto"/>
        </w:rPr>
        <w:t xml:space="preserve">. Alternatively, you may request a copy of any of these documents by writing to OFS Credit Company, Inc., </w:t>
      </w:r>
      <w:r>
        <w:rPr>
          <w:rFonts w:ascii="Times New Roman" w:cs="Times New Roman" w:eastAsia="Times New Roman" w:hAnsi="Times New Roman"/>
          <w:sz w:val="18"/>
          <w:szCs w:val="18"/>
          <w:color w:val="231F20"/>
        </w:rPr>
        <w:t>222 West Adams Street, Suite 1850,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Chicago, Illinois 60606</w:t>
      </w:r>
      <w:r>
        <w:rPr>
          <w:rFonts w:ascii="Times New Roman" w:cs="Times New Roman" w:eastAsia="Times New Roman" w:hAnsi="Times New Roman"/>
          <w:sz w:val="18"/>
          <w:szCs w:val="18"/>
          <w:color w:val="000000"/>
        </w:rPr>
        <w:t>, attention: Tod K. Reichert, Corporate Secretary, telephone: (847) 734-2085.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Determination of Independence</w:t>
      </w:r>
    </w:p>
    <w:p>
      <w:pPr>
        <w:spacing w:after="0" w:line="121" w:lineRule="exact"/>
        <w:rPr>
          <w:sz w:val="20"/>
          <w:szCs w:val="20"/>
          <w:color w:val="auto"/>
        </w:rPr>
      </w:pPr>
    </w:p>
    <w:p>
      <w:pPr>
        <w:jc w:val="both"/>
        <w:ind w:firstLine="723"/>
        <w:spacing w:after="0" w:line="256" w:lineRule="auto"/>
        <w:rPr>
          <w:sz w:val="20"/>
          <w:szCs w:val="20"/>
          <w:color w:val="auto"/>
        </w:rPr>
      </w:pPr>
      <w:r>
        <w:rPr>
          <w:rFonts w:ascii="Times New Roman" w:cs="Times New Roman" w:eastAsia="Times New Roman" w:hAnsi="Times New Roman"/>
          <w:sz w:val="18"/>
          <w:szCs w:val="18"/>
          <w:color w:val="auto"/>
        </w:rPr>
        <w:t>Under applicable Nasdaq rules, a director will only qualify as an “independent director” if, in the opinion of our board of directors, that person does not have a relationship that would interfere with the exercise of independent judgment in carrying out the responsibilities of a director. The Nasdaq Marketplace Rules provide that a director of an investment company shall be considered to be independent if he or she is not an “interested person” of the Company, as defined in Section 2(a)(19) of the 1940 Act. Section 2(a)(19) of the 1940 Act defines an “interested person” to include, among other things, any person who has, or within the past two years had, a material business or professional relationship with us.</w:t>
      </w:r>
    </w:p>
    <w:p>
      <w:pPr>
        <w:spacing w:after="0" w:line="79" w:lineRule="exact"/>
        <w:rPr>
          <w:sz w:val="20"/>
          <w:szCs w:val="20"/>
          <w:color w:val="auto"/>
        </w:rPr>
      </w:pPr>
    </w:p>
    <w:p>
      <w:pPr>
        <w:jc w:val="both"/>
        <w:ind w:firstLine="723"/>
        <w:spacing w:after="0" w:line="261" w:lineRule="auto"/>
        <w:rPr>
          <w:sz w:val="20"/>
          <w:szCs w:val="20"/>
          <w:color w:val="auto"/>
        </w:rPr>
      </w:pPr>
      <w:r>
        <w:rPr>
          <w:rFonts w:ascii="Times New Roman" w:cs="Times New Roman" w:eastAsia="Times New Roman" w:hAnsi="Times New Roman"/>
          <w:sz w:val="18"/>
          <w:szCs w:val="18"/>
          <w:color w:val="auto"/>
        </w:rPr>
        <w:t>Our board of directors has determined that none of Kathleen M. Griggs, Kate M. Fitta and Romita Shetty, who currently comprise our audit, compensation and nominating and corporate governance committees, has a relationship that would interfere with the exercise of independent judgment in carrying out the responsibilities of a director and that each of these directors is “independent” as that term is defined under Nasdaq Marketplace Rules.</w:t>
      </w:r>
    </w:p>
    <w:p>
      <w:pPr>
        <w:spacing w:after="0" w:line="72" w:lineRule="exact"/>
        <w:rPr>
          <w:sz w:val="20"/>
          <w:szCs w:val="20"/>
          <w:color w:val="auto"/>
        </w:rPr>
      </w:pPr>
    </w:p>
    <w:p>
      <w:pPr>
        <w:jc w:val="both"/>
        <w:ind w:firstLine="723"/>
        <w:spacing w:after="0" w:line="266" w:lineRule="auto"/>
        <w:rPr>
          <w:sz w:val="20"/>
          <w:szCs w:val="20"/>
          <w:color w:val="auto"/>
        </w:rPr>
      </w:pPr>
      <w:r>
        <w:rPr>
          <w:rFonts w:ascii="Times New Roman" w:cs="Times New Roman" w:eastAsia="Times New Roman" w:hAnsi="Times New Roman"/>
          <w:sz w:val="18"/>
          <w:szCs w:val="18"/>
          <w:color w:val="auto"/>
        </w:rPr>
        <w:t>In determining the independence of the directors listed above, our board of directors also considered each of the statutory requirements, policies and relationships discussed in “Related-Party Transactions and Certain Relationships” and “Review, Approval or Ratification of Transactions with Related Persons.”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Attendance</w:t>
      </w:r>
    </w:p>
    <w:p>
      <w:pPr>
        <w:spacing w:after="0" w:line="121" w:lineRule="exact"/>
        <w:rPr>
          <w:sz w:val="20"/>
          <w:szCs w:val="20"/>
          <w:color w:val="auto"/>
        </w:rPr>
      </w:pPr>
    </w:p>
    <w:p>
      <w:pPr>
        <w:jc w:val="both"/>
        <w:ind w:firstLine="723"/>
        <w:spacing w:after="0" w:line="266" w:lineRule="auto"/>
        <w:rPr>
          <w:sz w:val="20"/>
          <w:szCs w:val="20"/>
          <w:color w:val="auto"/>
        </w:rPr>
      </w:pPr>
      <w:r>
        <w:rPr>
          <w:rFonts w:ascii="Times New Roman" w:cs="Times New Roman" w:eastAsia="Times New Roman" w:hAnsi="Times New Roman"/>
          <w:sz w:val="18"/>
          <w:szCs w:val="18"/>
          <w:color w:val="auto"/>
        </w:rPr>
        <w:t>Our board of directors met five times during the fiscal year ended October 31, 2025 (“Fiscal Year 2025”), either in person or by teleconference. During Fiscal Year 2025, each director attended at least 75% of the aggregate of the total number of board meetings and the total number of meetings held by all committees on which he or she then served.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Meetings of Stockholders</w:t>
      </w:r>
    </w:p>
    <w:p>
      <w:pPr>
        <w:spacing w:after="0" w:line="121" w:lineRule="exact"/>
        <w:rPr>
          <w:sz w:val="20"/>
          <w:szCs w:val="20"/>
          <w:color w:val="auto"/>
        </w:rPr>
      </w:pPr>
    </w:p>
    <w:p>
      <w:pPr>
        <w:jc w:val="both"/>
        <w:ind w:firstLine="723"/>
        <w:spacing w:after="0" w:line="282" w:lineRule="auto"/>
        <w:rPr>
          <w:sz w:val="20"/>
          <w:szCs w:val="20"/>
          <w:color w:val="auto"/>
        </w:rPr>
      </w:pPr>
      <w:r>
        <w:rPr>
          <w:rFonts w:ascii="Times New Roman" w:cs="Times New Roman" w:eastAsia="Times New Roman" w:hAnsi="Times New Roman"/>
          <w:sz w:val="18"/>
          <w:szCs w:val="18"/>
          <w:color w:val="auto"/>
        </w:rPr>
        <w:t>We encourage each director to make a diligent effort to attend each annual meeting of stockholders. Four of our five directors attended the 2025 annual meeting of stockholders, and all of our directors are expected to attend the 2026 Annual Meeting.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Independent Lead Director</w:t>
      </w:r>
    </w:p>
    <w:p>
      <w:pPr>
        <w:spacing w:after="0" w:line="121" w:lineRule="exact"/>
        <w:rPr>
          <w:sz w:val="20"/>
          <w:szCs w:val="20"/>
          <w:color w:val="auto"/>
        </w:rPr>
      </w:pPr>
    </w:p>
    <w:p>
      <w:pPr>
        <w:jc w:val="both"/>
        <w:ind w:firstLine="723"/>
        <w:spacing w:after="0" w:line="258" w:lineRule="auto"/>
        <w:rPr>
          <w:sz w:val="20"/>
          <w:szCs w:val="20"/>
          <w:color w:val="auto"/>
        </w:rPr>
      </w:pPr>
      <w:r>
        <w:rPr>
          <w:rFonts w:ascii="Times New Roman" w:cs="Times New Roman" w:eastAsia="Times New Roman" w:hAnsi="Times New Roman"/>
          <w:sz w:val="18"/>
          <w:szCs w:val="18"/>
          <w:color w:val="231F20"/>
        </w:rPr>
        <w:t xml:space="preserve">Our </w:t>
      </w:r>
      <w:r>
        <w:rPr>
          <w:rFonts w:ascii="Times New Roman" w:cs="Times New Roman" w:eastAsia="Times New Roman" w:hAnsi="Times New Roman"/>
          <w:sz w:val="18"/>
          <w:szCs w:val="18"/>
          <w:color w:val="000000"/>
        </w:rPr>
        <w:t>board of directors</w:t>
      </w:r>
      <w:r>
        <w:rPr>
          <w:rFonts w:ascii="Times New Roman" w:cs="Times New Roman" w:eastAsia="Times New Roman" w:hAnsi="Times New Roman"/>
          <w:sz w:val="18"/>
          <w:szCs w:val="18"/>
          <w:color w:val="231F20"/>
        </w:rPr>
        <w:t xml:space="preserve"> monitors and performs an oversight role with respect to our business and affairs, including with respect to investment practices and performance, compliance with regulatory requirements and the services, expenses and performance of service providers to us. Among other things, our </w:t>
      </w:r>
      <w:r>
        <w:rPr>
          <w:rFonts w:ascii="Times New Roman" w:cs="Times New Roman" w:eastAsia="Times New Roman" w:hAnsi="Times New Roman"/>
          <w:sz w:val="18"/>
          <w:szCs w:val="18"/>
          <w:color w:val="000000"/>
        </w:rPr>
        <w:t>board of directors</w:t>
      </w:r>
      <w:r>
        <w:rPr>
          <w:rFonts w:ascii="Times New Roman" w:cs="Times New Roman" w:eastAsia="Times New Roman" w:hAnsi="Times New Roman"/>
          <w:sz w:val="18"/>
          <w:szCs w:val="18"/>
          <w:color w:val="231F20"/>
        </w:rPr>
        <w:t xml:space="preserve"> approves the appointment of our investment adviser and our officers, reviews and monitors the services and activities performed by our investment adviser and our officers, and approves the engagement and reviews the performance of our independent registered public accounting firm.</w:t>
      </w:r>
    </w:p>
    <w:p>
      <w:pPr>
        <w:spacing w:after="0" w:line="75" w:lineRule="exact"/>
        <w:rPr>
          <w:sz w:val="20"/>
          <w:szCs w:val="20"/>
          <w:color w:val="auto"/>
        </w:rPr>
      </w:pPr>
    </w:p>
    <w:p>
      <w:pPr>
        <w:jc w:val="both"/>
        <w:ind w:firstLine="723"/>
        <w:spacing w:after="0" w:line="258" w:lineRule="auto"/>
        <w:rPr>
          <w:sz w:val="20"/>
          <w:szCs w:val="20"/>
          <w:color w:val="auto"/>
        </w:rPr>
      </w:pPr>
      <w:r>
        <w:rPr>
          <w:rFonts w:ascii="Times New Roman" w:cs="Times New Roman" w:eastAsia="Times New Roman" w:hAnsi="Times New Roman"/>
          <w:sz w:val="18"/>
          <w:szCs w:val="18"/>
          <w:color w:val="auto"/>
        </w:rPr>
        <w:t>Our board of directors understands that there is no single, generally accepted approach to providing board leadership and that given the dynamic and competitive environment in which we operate, the right board leadership structure may vary as circumstances warrant. Consistent with this understanding, the independent directors consider the board of director’s leadership structure on an annual basis. This consideration includes the pros and cons of alternative leadership structures in light of our operating and governance environment at the time, with the goal of achieving the optimal model for effective oversight of management by the board of directors.</w:t>
      </w:r>
    </w:p>
    <w:p>
      <w:pPr>
        <w:spacing w:after="0" w:line="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Chairman and Chief Executive Officer</w:t>
      </w:r>
    </w:p>
    <w:p>
      <w:pPr>
        <w:spacing w:after="0" w:line="121" w:lineRule="exact"/>
        <w:rPr>
          <w:sz w:val="20"/>
          <w:szCs w:val="20"/>
          <w:color w:val="auto"/>
        </w:rPr>
      </w:pPr>
    </w:p>
    <w:p>
      <w:pPr>
        <w:jc w:val="both"/>
        <w:ind w:firstLine="723"/>
        <w:spacing w:after="0" w:line="261" w:lineRule="auto"/>
        <w:rPr>
          <w:sz w:val="20"/>
          <w:szCs w:val="20"/>
          <w:color w:val="auto"/>
        </w:rPr>
      </w:pPr>
      <w:r>
        <w:rPr>
          <w:rFonts w:ascii="Times New Roman" w:cs="Times New Roman" w:eastAsia="Times New Roman" w:hAnsi="Times New Roman"/>
          <w:sz w:val="18"/>
          <w:szCs w:val="18"/>
          <w:color w:val="auto"/>
        </w:rPr>
        <w:t xml:space="preserve">The board of directors </w:t>
      </w:r>
      <w:r>
        <w:rPr>
          <w:rFonts w:ascii="Times New Roman" w:cs="Times New Roman" w:eastAsia="Times New Roman" w:hAnsi="Times New Roman"/>
          <w:sz w:val="18"/>
          <w:szCs w:val="18"/>
          <w:color w:val="231F20"/>
        </w:rPr>
        <w:t>currently combines the role of Chairman of the Board with the role of Chief Executive Officer (“CEO”),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coupled with a Lead Independent Director position to further strengthen the governance structure. Our </w:t>
      </w:r>
      <w:r>
        <w:rPr>
          <w:rFonts w:ascii="Times New Roman" w:cs="Times New Roman" w:eastAsia="Times New Roman" w:hAnsi="Times New Roman"/>
          <w:sz w:val="18"/>
          <w:szCs w:val="18"/>
          <w:color w:val="000000"/>
        </w:rPr>
        <w:t>board of directors</w:t>
      </w:r>
      <w:r>
        <w:rPr>
          <w:rFonts w:ascii="Times New Roman" w:cs="Times New Roman" w:eastAsia="Times New Roman" w:hAnsi="Times New Roman"/>
          <w:sz w:val="18"/>
          <w:szCs w:val="18"/>
          <w:color w:val="231F20"/>
        </w:rPr>
        <w:t xml:space="preserve"> believes this provides an efficient and effective leadership model for the Company. Combining the Chairman and CEO roles fosters clear accountability, effective decision-making and alignment on corporate strategy.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236220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873" w:right="719" w:bottom="1440" w:gutter="0" w:footer="0" w:header="0"/>
        </w:sectPr>
      </w:pPr>
    </w:p>
    <w:bookmarkStart w:id="15" w:name="page16"/>
    <w:bookmarkEnd w:id="15"/>
    <w:p>
      <w:pPr>
        <w:ind w:firstLine="723"/>
        <w:spacing w:after="0" w:line="282" w:lineRule="auto"/>
        <w:rPr>
          <w:sz w:val="20"/>
          <w:szCs w:val="20"/>
          <w:color w:val="auto"/>
        </w:rPr>
      </w:pPr>
      <w:r>
        <w:rPr>
          <w:rFonts w:ascii="Times New Roman" w:cs="Times New Roman" w:eastAsia="Times New Roman" w:hAnsi="Times New Roman"/>
          <w:sz w:val="18"/>
          <w:szCs w:val="18"/>
          <w:color w:val="231F20"/>
        </w:rPr>
        <w:t xml:space="preserve">Moreover, the </w:t>
      </w:r>
      <w:r>
        <w:rPr>
          <w:rFonts w:ascii="Times New Roman" w:cs="Times New Roman" w:eastAsia="Times New Roman" w:hAnsi="Times New Roman"/>
          <w:sz w:val="18"/>
          <w:szCs w:val="18"/>
          <w:color w:val="000000"/>
        </w:rPr>
        <w:t>board of directors</w:t>
      </w:r>
      <w:r>
        <w:rPr>
          <w:rFonts w:ascii="Times New Roman" w:cs="Times New Roman" w:eastAsia="Times New Roman" w:hAnsi="Times New Roman"/>
          <w:sz w:val="18"/>
          <w:szCs w:val="18"/>
          <w:color w:val="231F20"/>
        </w:rPr>
        <w:t xml:space="preserve"> believes that its governance practices provide adequate safeguards against any potential risks that might be associated with having a combined Chairman and CEO.</w:t>
      </w:r>
    </w:p>
    <w:p>
      <w:pPr>
        <w:spacing w:after="0" w:line="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231F20"/>
        </w:rPr>
        <w:t>Specifically:</w:t>
      </w:r>
    </w:p>
    <w:p>
      <w:pPr>
        <w:spacing w:after="0" w:line="117" w:lineRule="exact"/>
        <w:rPr>
          <w:sz w:val="20"/>
          <w:szCs w:val="20"/>
          <w:color w:val="auto"/>
        </w:rPr>
      </w:pPr>
    </w:p>
    <w:p>
      <w:pPr>
        <w:ind w:left="1120" w:hanging="369"/>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three </w:t>
      </w:r>
      <w:r>
        <w:rPr>
          <w:rFonts w:ascii="Times New Roman" w:cs="Times New Roman" w:eastAsia="Times New Roman" w:hAnsi="Times New Roman"/>
          <w:sz w:val="18"/>
          <w:szCs w:val="18"/>
          <w:color w:val="231F20"/>
        </w:rPr>
        <w:t>of the five current directors of the Company are independent directors;</w:t>
      </w:r>
    </w:p>
    <w:p>
      <w:pPr>
        <w:spacing w:after="0" w:line="63" w:lineRule="exact"/>
        <w:rPr>
          <w:rFonts w:ascii="Times New Roman" w:cs="Times New Roman" w:eastAsia="Times New Roman" w:hAnsi="Times New Roman"/>
          <w:sz w:val="18"/>
          <w:szCs w:val="18"/>
          <w:color w:val="auto"/>
        </w:rPr>
      </w:pPr>
    </w:p>
    <w:p>
      <w:pPr>
        <w:ind w:left="1120" w:hanging="369"/>
        <w:spacing w:after="0" w:line="281" w:lineRule="auto"/>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all of the members of the audit committee, compensation committee and nominating and corporate governance committee are independent directors;</w:t>
      </w:r>
    </w:p>
    <w:p>
      <w:pPr>
        <w:spacing w:after="0" w:line="1" w:lineRule="exact"/>
        <w:rPr>
          <w:rFonts w:ascii="Times New Roman" w:cs="Times New Roman" w:eastAsia="Times New Roman" w:hAnsi="Times New Roman"/>
          <w:sz w:val="18"/>
          <w:szCs w:val="18"/>
          <w:color w:val="auto"/>
        </w:rPr>
      </w:pPr>
    </w:p>
    <w:p>
      <w:pPr>
        <w:ind w:left="1120" w:hanging="369"/>
        <w:spacing w:after="0" w:line="281" w:lineRule="auto"/>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board of directors</w:t>
      </w:r>
      <w:r>
        <w:rPr>
          <w:rFonts w:ascii="Times New Roman" w:cs="Times New Roman" w:eastAsia="Times New Roman" w:hAnsi="Times New Roman"/>
          <w:sz w:val="18"/>
          <w:szCs w:val="18"/>
          <w:color w:val="231F20"/>
        </w:rPr>
        <w:t xml:space="preserve"> and its committees regularly conduct scheduled meetings in executive session, out of the presence of Mr. Rashid and other members of management;</w:t>
      </w:r>
    </w:p>
    <w:p>
      <w:pPr>
        <w:spacing w:after="0" w:line="1" w:lineRule="exact"/>
        <w:rPr>
          <w:rFonts w:ascii="Times New Roman" w:cs="Times New Roman" w:eastAsia="Times New Roman" w:hAnsi="Times New Roman"/>
          <w:sz w:val="18"/>
          <w:szCs w:val="18"/>
          <w:color w:val="auto"/>
        </w:rPr>
      </w:pPr>
    </w:p>
    <w:p>
      <w:pPr>
        <w:ind w:left="1120" w:hanging="369"/>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board of directors</w:t>
      </w:r>
      <w:r>
        <w:rPr>
          <w:rFonts w:ascii="Times New Roman" w:cs="Times New Roman" w:eastAsia="Times New Roman" w:hAnsi="Times New Roman"/>
          <w:sz w:val="18"/>
          <w:szCs w:val="18"/>
          <w:color w:val="231F20"/>
        </w:rPr>
        <w:t xml:space="preserve"> and its committees regularly conduct meetings that specifically include Mr. Rashid; and</w:t>
      </w:r>
    </w:p>
    <w:p>
      <w:pPr>
        <w:spacing w:after="0" w:line="63" w:lineRule="exact"/>
        <w:rPr>
          <w:rFonts w:ascii="Times New Roman" w:cs="Times New Roman" w:eastAsia="Times New Roman" w:hAnsi="Times New Roman"/>
          <w:sz w:val="18"/>
          <w:szCs w:val="18"/>
          <w:color w:val="auto"/>
        </w:rPr>
      </w:pPr>
    </w:p>
    <w:p>
      <w:pPr>
        <w:ind w:left="1120" w:hanging="369"/>
        <w:spacing w:after="0" w:line="282" w:lineRule="auto"/>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board of directors</w:t>
      </w:r>
      <w:r>
        <w:rPr>
          <w:rFonts w:ascii="Times New Roman" w:cs="Times New Roman" w:eastAsia="Times New Roman" w:hAnsi="Times New Roman"/>
          <w:sz w:val="18"/>
          <w:szCs w:val="18"/>
          <w:color w:val="231F20"/>
        </w:rPr>
        <w:t xml:space="preserve"> and its committees remain in close contact with, and receive reports on various aspects of the Company’s management and enterprise risk directly from, the Company’s senior management and independent auditors.</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Lead Independent Director</w:t>
      </w:r>
    </w:p>
    <w:p>
      <w:pPr>
        <w:spacing w:after="0" w:line="121" w:lineRule="exact"/>
        <w:rPr>
          <w:sz w:val="20"/>
          <w:szCs w:val="20"/>
          <w:color w:val="auto"/>
        </w:rPr>
      </w:pPr>
    </w:p>
    <w:p>
      <w:pPr>
        <w:jc w:val="both"/>
        <w:ind w:firstLine="723"/>
        <w:spacing w:after="0" w:line="266" w:lineRule="auto"/>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board of directors</w:t>
      </w:r>
      <w:r>
        <w:rPr>
          <w:rFonts w:ascii="Times New Roman" w:cs="Times New Roman" w:eastAsia="Times New Roman" w:hAnsi="Times New Roman"/>
          <w:sz w:val="18"/>
          <w:szCs w:val="18"/>
          <w:color w:val="231F20"/>
        </w:rPr>
        <w:t xml:space="preserve"> has appointed a Lead Independent Director to provide an additional measure of balance, ensure the board of director’s independence and enhance the </w:t>
      </w:r>
      <w:r>
        <w:rPr>
          <w:rFonts w:ascii="Times New Roman" w:cs="Times New Roman" w:eastAsia="Times New Roman" w:hAnsi="Times New Roman"/>
          <w:sz w:val="18"/>
          <w:szCs w:val="18"/>
          <w:color w:val="000000"/>
        </w:rPr>
        <w:t>board of director’s</w:t>
      </w:r>
      <w:r>
        <w:rPr>
          <w:rFonts w:ascii="Times New Roman" w:cs="Times New Roman" w:eastAsia="Times New Roman" w:hAnsi="Times New Roman"/>
          <w:sz w:val="18"/>
          <w:szCs w:val="18"/>
          <w:color w:val="231F20"/>
        </w:rPr>
        <w:t xml:space="preserve"> ability to fulfill its management oversight responsibilities. Kathleen M. Griggs currently serves as the Lead Independent Director.</w:t>
      </w:r>
    </w:p>
    <w:p>
      <w:pPr>
        <w:spacing w:after="0" w:line="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231F20"/>
        </w:rPr>
        <w:t>The Lead Independent Director:</w:t>
      </w:r>
    </w:p>
    <w:p>
      <w:pPr>
        <w:spacing w:after="0" w:line="117" w:lineRule="exact"/>
        <w:rPr>
          <w:sz w:val="20"/>
          <w:szCs w:val="20"/>
          <w:color w:val="auto"/>
        </w:rPr>
      </w:pPr>
    </w:p>
    <w:p>
      <w:pPr>
        <w:ind w:left="1120" w:hanging="369"/>
        <w:spacing w:after="0" w:line="281"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presides over all meetings of the directors at which the Chairman is not present, including executive sessions of the independent directors;</w:t>
      </w:r>
    </w:p>
    <w:p>
      <w:pPr>
        <w:spacing w:after="0" w:line="1" w:lineRule="exact"/>
        <w:rPr>
          <w:rFonts w:ascii="Times New Roman" w:cs="Times New Roman" w:eastAsia="Times New Roman" w:hAnsi="Times New Roman"/>
          <w:sz w:val="18"/>
          <w:szCs w:val="18"/>
          <w:color w:val="auto"/>
        </w:rPr>
      </w:pPr>
    </w:p>
    <w:p>
      <w:pPr>
        <w:ind w:left="1120" w:hanging="369"/>
        <w:spacing w:after="0" w:line="281"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works with the Chairman of the Board in the preparation of the agenda for each board meeting and in determining the need for special meetings of the board of directors;</w:t>
      </w:r>
    </w:p>
    <w:p>
      <w:pPr>
        <w:spacing w:after="0" w:line="1" w:lineRule="exact"/>
        <w:rPr>
          <w:rFonts w:ascii="Times New Roman" w:cs="Times New Roman" w:eastAsia="Times New Roman" w:hAnsi="Times New Roman"/>
          <w:sz w:val="18"/>
          <w:szCs w:val="18"/>
          <w:color w:val="auto"/>
        </w:rPr>
      </w:pPr>
    </w:p>
    <w:p>
      <w:pPr>
        <w:ind w:left="1120" w:hanging="369"/>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frequently consults with the Chairman and CEO about strategic policies;</w:t>
      </w:r>
    </w:p>
    <w:p>
      <w:pPr>
        <w:spacing w:after="0" w:line="63" w:lineRule="exact"/>
        <w:rPr>
          <w:rFonts w:ascii="Times New Roman" w:cs="Times New Roman" w:eastAsia="Times New Roman" w:hAnsi="Times New Roman"/>
          <w:sz w:val="18"/>
          <w:szCs w:val="18"/>
          <w:color w:val="auto"/>
        </w:rPr>
      </w:pPr>
    </w:p>
    <w:p>
      <w:pPr>
        <w:ind w:left="1120" w:hanging="369"/>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the Chairman and CEO with input regarding board meetings;</w:t>
      </w:r>
    </w:p>
    <w:p>
      <w:pPr>
        <w:spacing w:after="0" w:line="63" w:lineRule="exact"/>
        <w:rPr>
          <w:rFonts w:ascii="Times New Roman" w:cs="Times New Roman" w:eastAsia="Times New Roman" w:hAnsi="Times New Roman"/>
          <w:sz w:val="18"/>
          <w:szCs w:val="18"/>
          <w:color w:val="auto"/>
        </w:rPr>
      </w:pPr>
    </w:p>
    <w:p>
      <w:pPr>
        <w:ind w:left="1120" w:hanging="369"/>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serves as a liaison between the Chairman and CEO and the independent directors;</w:t>
      </w:r>
    </w:p>
    <w:p>
      <w:pPr>
        <w:spacing w:after="0" w:line="63" w:lineRule="exact"/>
        <w:rPr>
          <w:rFonts w:ascii="Times New Roman" w:cs="Times New Roman" w:eastAsia="Times New Roman" w:hAnsi="Times New Roman"/>
          <w:sz w:val="18"/>
          <w:szCs w:val="18"/>
          <w:color w:val="auto"/>
        </w:rPr>
      </w:pPr>
    </w:p>
    <w:p>
      <w:pPr>
        <w:ind w:left="1120" w:hanging="369"/>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consults with the Chairman and CEO on matters relating to corporate governance and board performance; and</w:t>
      </w:r>
    </w:p>
    <w:p>
      <w:pPr>
        <w:spacing w:after="0" w:line="63" w:lineRule="exact"/>
        <w:rPr>
          <w:rFonts w:ascii="Times New Roman" w:cs="Times New Roman" w:eastAsia="Times New Roman" w:hAnsi="Times New Roman"/>
          <w:sz w:val="18"/>
          <w:szCs w:val="18"/>
          <w:color w:val="auto"/>
        </w:rPr>
      </w:pPr>
    </w:p>
    <w:p>
      <w:pPr>
        <w:ind w:left="1120" w:hanging="369"/>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assumes such responsibilities as may be assigned to her by the independent directors.</w:t>
      </w:r>
    </w:p>
    <w:p>
      <w:pPr>
        <w:spacing w:after="0" w:line="63" w:lineRule="exact"/>
        <w:rPr>
          <w:sz w:val="20"/>
          <w:szCs w:val="20"/>
          <w:color w:val="auto"/>
        </w:rPr>
      </w:pPr>
    </w:p>
    <w:p>
      <w:pPr>
        <w:jc w:val="both"/>
        <w:ind w:firstLine="723"/>
        <w:spacing w:after="0" w:line="258" w:lineRule="auto"/>
        <w:rPr>
          <w:sz w:val="20"/>
          <w:szCs w:val="20"/>
          <w:color w:val="auto"/>
        </w:rPr>
      </w:pPr>
      <w:r>
        <w:rPr>
          <w:rFonts w:ascii="Times New Roman" w:cs="Times New Roman" w:eastAsia="Times New Roman" w:hAnsi="Times New Roman"/>
          <w:sz w:val="18"/>
          <w:szCs w:val="18"/>
          <w:color w:val="auto"/>
        </w:rPr>
        <w:t xml:space="preserve">While we currently do not have a policy mandating an independent lead director, the board of directors believes that, at this time, having an independent director fulfill the lead director role is the right approach for the Company. </w:t>
      </w:r>
      <w:r>
        <w:rPr>
          <w:rFonts w:ascii="Times New Roman" w:cs="Times New Roman" w:eastAsia="Times New Roman" w:hAnsi="Times New Roman"/>
          <w:sz w:val="18"/>
          <w:szCs w:val="18"/>
          <w:color w:val="231F20"/>
        </w:rPr>
        <w:t>Having a combined Chairman and CEO,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coupled with a substantial majority of independent, experienced directors who evaluate the board of directors and themselves at least annually, including a Lead Independent Director with specified responsibilities on behalf of the independent directors, provides the right leadership structure for the Company and is best for the Company and its stockholders at this time.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b w:val="1"/>
          <w:bCs w:val="1"/>
          <w:color w:val="231F20"/>
        </w:rPr>
        <w:t>Meetings and Committees</w:t>
      </w:r>
    </w:p>
    <w:p>
      <w:pPr>
        <w:spacing w:after="0" w:line="67" w:lineRule="exact"/>
        <w:rPr>
          <w:sz w:val="20"/>
          <w:szCs w:val="20"/>
          <w:color w:val="auto"/>
        </w:rPr>
      </w:pPr>
    </w:p>
    <w:p>
      <w:pPr>
        <w:jc w:val="both"/>
        <w:ind w:firstLine="723"/>
        <w:spacing w:after="0" w:line="261" w:lineRule="auto"/>
        <w:rPr>
          <w:sz w:val="20"/>
          <w:szCs w:val="20"/>
          <w:color w:val="auto"/>
        </w:rPr>
      </w:pPr>
      <w:r>
        <w:rPr>
          <w:rFonts w:ascii="Times New Roman" w:cs="Times New Roman" w:eastAsia="Times New Roman" w:hAnsi="Times New Roman"/>
          <w:sz w:val="18"/>
          <w:szCs w:val="18"/>
          <w:color w:val="auto"/>
        </w:rPr>
        <w:t xml:space="preserve">Our board of directors has established three standing committees — audit, compensation and nominating and corporate governance. Our audit, compensation and nominating and corporate governance committees each operate under a charter that has been approved by our board of directors. Current copies of the audit, compensation and nominating and corporate governance committee charters are posted in the Corporate Governance section of our website located at </w:t>
      </w:r>
      <w:r>
        <w:rPr>
          <w:rFonts w:ascii="Times New Roman" w:cs="Times New Roman" w:eastAsia="Times New Roman" w:hAnsi="Times New Roman"/>
          <w:sz w:val="18"/>
          <w:szCs w:val="18"/>
          <w:i w:val="1"/>
          <w:iCs w:val="1"/>
          <w:color w:val="auto"/>
        </w:rPr>
        <w:t>www.ofscreditcompany.com</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firstLine="723"/>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all of the members of each of the board of director’s standing committees are independent as defined under the rules of The Nasdaq Stock Market, LLC including, in the case of all members of the audit committee, the independence requirements contemplated by Rule 10A-3 under the Exchange Act.</w:t>
      </w:r>
    </w:p>
    <w:p>
      <w:pPr>
        <w:spacing w:after="0" w:line="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Audit Committee</w:t>
      </w:r>
    </w:p>
    <w:p>
      <w:pPr>
        <w:spacing w:after="0" w:line="121" w:lineRule="exact"/>
        <w:rPr>
          <w:sz w:val="20"/>
          <w:szCs w:val="20"/>
          <w:color w:val="auto"/>
        </w:rPr>
      </w:pPr>
    </w:p>
    <w:p>
      <w:pPr>
        <w:jc w:val="both"/>
        <w:ind w:firstLine="723"/>
        <w:spacing w:after="0" w:line="258" w:lineRule="auto"/>
        <w:rPr>
          <w:sz w:val="20"/>
          <w:szCs w:val="20"/>
          <w:color w:val="auto"/>
        </w:rPr>
      </w:pPr>
      <w:r>
        <w:rPr>
          <w:rFonts w:ascii="Times New Roman" w:cs="Times New Roman" w:eastAsia="Times New Roman" w:hAnsi="Times New Roman"/>
          <w:sz w:val="18"/>
          <w:szCs w:val="18"/>
          <w:color w:val="auto"/>
        </w:rPr>
        <w:t>The audit committee currently consists, and during Fiscal Year 2025 consisted, of Kathleen M. Griggs, Kate M. Fitta and Romita Shetty. Ms. Griggs chaired the audit committee during Fiscal Year 2025 and continues to do so. The audit committee held nine meetings in Fiscal Year 2025. It is anticipated that Mses. Fitta and Shetty, if re-elected to the board of directors by our stockholders, and Ms. Griggs will continue to serve on the audit committee in 2026. No member of the audit committee is an “interested person” of the Company, as defined in Section 2(a)(19) of the 1940 Act.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236220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877" w:right="719" w:bottom="1440" w:gutter="0" w:footer="0" w:header="0"/>
        </w:sectPr>
      </w:pPr>
    </w:p>
    <w:bookmarkStart w:id="16" w:name="page17"/>
    <w:bookmarkEnd w:id="16"/>
    <w:p>
      <w:pPr>
        <w:ind w:left="720"/>
        <w:spacing w:after="0"/>
        <w:rPr>
          <w:sz w:val="20"/>
          <w:szCs w:val="20"/>
          <w:color w:val="auto"/>
        </w:rPr>
      </w:pPr>
      <w:r>
        <w:rPr>
          <w:rFonts w:ascii="Times New Roman" w:cs="Times New Roman" w:eastAsia="Times New Roman" w:hAnsi="Times New Roman"/>
          <w:sz w:val="18"/>
          <w:szCs w:val="18"/>
          <w:color w:val="auto"/>
        </w:rPr>
        <w:t>Our audit committee’s responsibilities include:</w:t>
      </w:r>
    </w:p>
    <w:p>
      <w:pPr>
        <w:spacing w:after="0" w:line="117" w:lineRule="exact"/>
        <w:rPr>
          <w:sz w:val="20"/>
          <w:szCs w:val="20"/>
          <w:color w:val="auto"/>
        </w:rPr>
      </w:pPr>
    </w:p>
    <w:p>
      <w:pPr>
        <w:ind w:left="1120" w:hanging="369"/>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63" w:lineRule="exact"/>
        <w:rPr>
          <w:rFonts w:ascii="Times New Roman" w:cs="Times New Roman" w:eastAsia="Times New Roman" w:hAnsi="Times New Roman"/>
          <w:sz w:val="18"/>
          <w:szCs w:val="18"/>
          <w:color w:val="auto"/>
        </w:rPr>
      </w:pPr>
    </w:p>
    <w:p>
      <w:pPr>
        <w:ind w:left="1120" w:hanging="369"/>
        <w:spacing w:after="0" w:line="281"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independent registered public accounting firm, including through the receipt and consideration of certain reports from such firm;</w:t>
      </w:r>
    </w:p>
    <w:p>
      <w:pPr>
        <w:spacing w:after="0" w:line="1" w:lineRule="exact"/>
        <w:rPr>
          <w:rFonts w:ascii="Times New Roman" w:cs="Times New Roman" w:eastAsia="Times New Roman" w:hAnsi="Times New Roman"/>
          <w:sz w:val="18"/>
          <w:szCs w:val="18"/>
          <w:color w:val="auto"/>
        </w:rPr>
      </w:pPr>
    </w:p>
    <w:p>
      <w:pPr>
        <w:ind w:left="1120" w:hanging="369"/>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annual and quarterly financial statements and related disclosures;</w:t>
      </w:r>
    </w:p>
    <w:p>
      <w:pPr>
        <w:spacing w:after="0" w:line="63" w:lineRule="exact"/>
        <w:rPr>
          <w:rFonts w:ascii="Times New Roman" w:cs="Times New Roman" w:eastAsia="Times New Roman" w:hAnsi="Times New Roman"/>
          <w:sz w:val="18"/>
          <w:szCs w:val="18"/>
          <w:color w:val="auto"/>
        </w:rPr>
      </w:pPr>
    </w:p>
    <w:p>
      <w:pPr>
        <w:ind w:left="1120" w:hanging="369"/>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internal control over financial reporting and disclosure controls and procedures;</w:t>
      </w:r>
    </w:p>
    <w:p>
      <w:pPr>
        <w:spacing w:after="0" w:line="63" w:lineRule="exact"/>
        <w:rPr>
          <w:rFonts w:ascii="Times New Roman" w:cs="Times New Roman" w:eastAsia="Times New Roman" w:hAnsi="Times New Roman"/>
          <w:sz w:val="18"/>
          <w:szCs w:val="18"/>
          <w:color w:val="auto"/>
        </w:rPr>
      </w:pPr>
    </w:p>
    <w:p>
      <w:pPr>
        <w:ind w:left="1120" w:hanging="369"/>
        <w:spacing w:after="0" w:line="281"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risk management processes and procedures, as discussed below under the heading “Board of Directors Role in Risk Oversight”;</w:t>
      </w:r>
    </w:p>
    <w:p>
      <w:pPr>
        <w:spacing w:after="0" w:line="1" w:lineRule="exact"/>
        <w:rPr>
          <w:rFonts w:ascii="Times New Roman" w:cs="Times New Roman" w:eastAsia="Times New Roman" w:hAnsi="Times New Roman"/>
          <w:sz w:val="18"/>
          <w:szCs w:val="18"/>
          <w:color w:val="auto"/>
        </w:rPr>
      </w:pPr>
    </w:p>
    <w:p>
      <w:pPr>
        <w:ind w:left="1120" w:hanging="369"/>
        <w:spacing w:after="0" w:line="281"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regarding hiring employees from the independent registered public accounting firm and procedures for the receipt and retention of accounting related complaints and concerns;</w:t>
      </w:r>
    </w:p>
    <w:p>
      <w:pPr>
        <w:spacing w:after="0" w:line="1" w:lineRule="exact"/>
        <w:rPr>
          <w:rFonts w:ascii="Times New Roman" w:cs="Times New Roman" w:eastAsia="Times New Roman" w:hAnsi="Times New Roman"/>
          <w:sz w:val="18"/>
          <w:szCs w:val="18"/>
          <w:color w:val="auto"/>
        </w:rPr>
      </w:pPr>
    </w:p>
    <w:p>
      <w:pPr>
        <w:ind w:left="1120" w:hanging="369"/>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independent registered public accounting firm and management;</w:t>
      </w:r>
    </w:p>
    <w:p>
      <w:pPr>
        <w:spacing w:after="0" w:line="63" w:lineRule="exact"/>
        <w:rPr>
          <w:rFonts w:ascii="Times New Roman" w:cs="Times New Roman" w:eastAsia="Times New Roman" w:hAnsi="Times New Roman"/>
          <w:sz w:val="18"/>
          <w:szCs w:val="18"/>
          <w:color w:val="auto"/>
        </w:rPr>
      </w:pPr>
    </w:p>
    <w:p>
      <w:pPr>
        <w:ind w:left="1120" w:hanging="369"/>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63" w:lineRule="exact"/>
        <w:rPr>
          <w:rFonts w:ascii="Times New Roman" w:cs="Times New Roman" w:eastAsia="Times New Roman" w:hAnsi="Times New Roman"/>
          <w:sz w:val="18"/>
          <w:szCs w:val="18"/>
          <w:color w:val="auto"/>
        </w:rPr>
      </w:pPr>
    </w:p>
    <w:p>
      <w:pPr>
        <w:ind w:left="1120" w:hanging="369"/>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(which is included on page 24 of this proxy statement).</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board of directors has determined that Ms. Griggs is an “audit committee financial expert” as defined by applicable SEC rules.</w:t>
      </w:r>
    </w:p>
    <w:p>
      <w:pPr>
        <w:spacing w:after="0" w:line="1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Compensation Committee</w:t>
      </w:r>
    </w:p>
    <w:p>
      <w:pPr>
        <w:spacing w:after="0" w:line="121" w:lineRule="exact"/>
        <w:rPr>
          <w:sz w:val="20"/>
          <w:szCs w:val="20"/>
          <w:color w:val="auto"/>
        </w:rPr>
      </w:pPr>
    </w:p>
    <w:p>
      <w:pPr>
        <w:jc w:val="both"/>
        <w:ind w:firstLine="723"/>
        <w:spacing w:after="0" w:line="258" w:lineRule="auto"/>
        <w:rPr>
          <w:sz w:val="20"/>
          <w:szCs w:val="20"/>
          <w:color w:val="auto"/>
        </w:rPr>
      </w:pPr>
      <w:r>
        <w:rPr>
          <w:rFonts w:ascii="Times New Roman" w:cs="Times New Roman" w:eastAsia="Times New Roman" w:hAnsi="Times New Roman"/>
          <w:sz w:val="18"/>
          <w:szCs w:val="18"/>
          <w:color w:val="auto"/>
        </w:rPr>
        <w:t>The compensation committee currently consists, and during Fiscal Year 2025 consisted, of Mses. Shetty, Fitta and Griggs. Ms. Shetty chaired the compensation committee during Fiscal Year 2025 and continues to do so. The compensation committee held two meetings in Fiscal Year 2025. It is anticipated that Mses. Shetty and Fitta, if re-elected to the board of directors by our stockholders, and Ms. Griggs will continue to serve on the compensation committee in 2026. No member of the compensation committee is an “interested person” of the Company, as defined in Section 2(a)(19) of the 1940 Act.</w:t>
      </w:r>
    </w:p>
    <w:p>
      <w:pPr>
        <w:spacing w:after="0" w:line="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compensation committee’s responsibilities include:</w:t>
      </w:r>
    </w:p>
    <w:p>
      <w:pPr>
        <w:spacing w:after="0" w:line="117" w:lineRule="exact"/>
        <w:rPr>
          <w:sz w:val="20"/>
          <w:szCs w:val="20"/>
          <w:color w:val="auto"/>
        </w:rPr>
      </w:pPr>
    </w:p>
    <w:p>
      <w:pPr>
        <w:ind w:left="1120" w:hanging="369"/>
        <w:spacing w:after="0" w:line="281"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reimbursement by the Company of the compensation of the Company’s Chief Executive Officer, Chief Financial Officer and Chief Compliance Officer; and</w:t>
      </w:r>
    </w:p>
    <w:p>
      <w:pPr>
        <w:spacing w:after="0" w:line="1" w:lineRule="exact"/>
        <w:rPr>
          <w:rFonts w:ascii="Times New Roman" w:cs="Times New Roman" w:eastAsia="Times New Roman" w:hAnsi="Times New Roman"/>
          <w:sz w:val="18"/>
          <w:szCs w:val="18"/>
          <w:color w:val="auto"/>
        </w:rPr>
      </w:pPr>
    </w:p>
    <w:p>
      <w:pPr>
        <w:ind w:left="1120" w:hanging="369"/>
        <w:spacing w:after="0" w:line="281"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for approval by the board of directors the compensation, if any, paid to directors that are not “interested persons” of the Company as such term is defined in Section 2(a)(19) of the 1940 Act.</w:t>
      </w:r>
    </w:p>
    <w:p>
      <w:pPr>
        <w:spacing w:after="0" w:line="1" w:lineRule="exact"/>
        <w:rPr>
          <w:sz w:val="20"/>
          <w:szCs w:val="20"/>
          <w:color w:val="auto"/>
        </w:rPr>
      </w:pPr>
    </w:p>
    <w:p>
      <w:pPr>
        <w:jc w:val="both"/>
        <w:ind w:firstLine="723"/>
        <w:spacing w:after="0" w:line="258" w:lineRule="auto"/>
        <w:rPr>
          <w:sz w:val="20"/>
          <w:szCs w:val="20"/>
          <w:color w:val="auto"/>
        </w:rPr>
      </w:pPr>
      <w:r>
        <w:rPr>
          <w:rFonts w:ascii="Times New Roman" w:cs="Times New Roman" w:eastAsia="Times New Roman" w:hAnsi="Times New Roman"/>
          <w:sz w:val="18"/>
          <w:szCs w:val="18"/>
          <w:color w:val="auto"/>
        </w:rPr>
        <w:t>Currently none of the Company’s executive officers are directly compensated by the Company and, as a result, the Compensation Committee does not produce and/or review reports on executive compensation practices for inclusion in our annual proxy statement. However, the Company reimburses its administrator for the allocable portion of overhead and other expenses incurred by the administrator in performing its obligations under an administration agreement, including an allocable share of the compensation of certain of the Company’s executive officers with finance and compliance responsibilities.</w:t>
      </w:r>
    </w:p>
    <w:p>
      <w:pPr>
        <w:spacing w:after="0" w:line="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Nominating and Corporate Governance Committee</w:t>
      </w:r>
    </w:p>
    <w:p>
      <w:pPr>
        <w:spacing w:after="0" w:line="121" w:lineRule="exact"/>
        <w:rPr>
          <w:sz w:val="20"/>
          <w:szCs w:val="20"/>
          <w:color w:val="auto"/>
        </w:rPr>
      </w:pPr>
    </w:p>
    <w:p>
      <w:pPr>
        <w:jc w:val="both"/>
        <w:ind w:firstLine="723"/>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and during Fiscal Year 2025 consisted, of Mses. Fitta, Griggs and Shetty. Ms. Fitta chaired the nominating and corporate governance committee during Fiscal Year 2025 and continues to do so. The nominating and corporate governance committee held two meetings in Fiscal Year 2025. It is anticipated that Mses. Fitta and Shetty, if re-elected to the board of directors by our stockholders and Ms. Griggs will continue to serve on the nominating and corporate governance committee in 2026. No member of the nominating and corporate governance committee is an “interested person” of the Company, as defined in Section 2(a)(19) of the 1940 Act.</w:t>
      </w:r>
    </w:p>
    <w:p>
      <w:pPr>
        <w:spacing w:after="0" w:line="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nominating and corporate governance committee’s responsibilities include:</w:t>
      </w:r>
    </w:p>
    <w:p>
      <w:pPr>
        <w:spacing w:after="0" w:line="117" w:lineRule="exact"/>
        <w:rPr>
          <w:sz w:val="20"/>
          <w:szCs w:val="20"/>
          <w:color w:val="auto"/>
        </w:rPr>
      </w:pPr>
    </w:p>
    <w:p>
      <w:pPr>
        <w:ind w:left="1120" w:hanging="369"/>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board members;</w:t>
      </w:r>
    </w:p>
    <w:p>
      <w:pPr>
        <w:spacing w:after="0" w:line="63" w:lineRule="exact"/>
        <w:rPr>
          <w:rFonts w:ascii="Times New Roman" w:cs="Times New Roman" w:eastAsia="Times New Roman" w:hAnsi="Times New Roman"/>
          <w:sz w:val="18"/>
          <w:szCs w:val="18"/>
          <w:color w:val="auto"/>
        </w:rPr>
      </w:pPr>
    </w:p>
    <w:p>
      <w:pPr>
        <w:ind w:left="1120" w:hanging="369"/>
        <w:spacing w:after="0" w:line="281"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persons to be nominated for election as directors and to each of the board of director’s committees;</w:t>
      </w:r>
    </w:p>
    <w:p>
      <w:pPr>
        <w:spacing w:after="0" w:line="1" w:lineRule="exact"/>
        <w:rPr>
          <w:rFonts w:ascii="Times New Roman" w:cs="Times New Roman" w:eastAsia="Times New Roman" w:hAnsi="Times New Roman"/>
          <w:sz w:val="18"/>
          <w:szCs w:val="18"/>
          <w:color w:val="auto"/>
        </w:rPr>
      </w:pPr>
    </w:p>
    <w:p>
      <w:pPr>
        <w:ind w:left="1120" w:hanging="369"/>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of directors with respect to management succession planning; and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236220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877" w:right="719" w:bottom="1440" w:gutter="0" w:footer="0" w:header="0"/>
        </w:sectPr>
      </w:pPr>
    </w:p>
    <w:bookmarkStart w:id="17" w:name="page18"/>
    <w:bookmarkEnd w:id="17"/>
    <w:p>
      <w:pPr>
        <w:ind w:left="1120" w:hanging="369"/>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board of directors.</w:t>
      </w:r>
    </w:p>
    <w:p>
      <w:pPr>
        <w:spacing w:after="0" w:line="63" w:lineRule="exact"/>
        <w:rPr>
          <w:sz w:val="20"/>
          <w:szCs w:val="20"/>
          <w:color w:val="auto"/>
        </w:rPr>
      </w:pPr>
    </w:p>
    <w:p>
      <w:pPr>
        <w:jc w:val="both"/>
        <w:ind w:firstLine="723"/>
        <w:spacing w:after="0" w:line="282" w:lineRule="auto"/>
        <w:rPr>
          <w:sz w:val="20"/>
          <w:szCs w:val="20"/>
          <w:color w:val="auto"/>
        </w:rPr>
      </w:pPr>
      <w:r>
        <w:rPr>
          <w:rFonts w:ascii="Times New Roman" w:cs="Times New Roman" w:eastAsia="Times New Roman" w:hAnsi="Times New Roman"/>
          <w:sz w:val="18"/>
          <w:szCs w:val="18"/>
          <w:color w:val="auto"/>
        </w:rPr>
        <w:t>The processes and procedures followed by our nominating and corporate governance committee in identifying and evaluating director candidates are described below under the heading “Director Nomination Process, Including Diversity Considerations.”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Role in Risk Oversight</w:t>
      </w:r>
    </w:p>
    <w:p>
      <w:pPr>
        <w:spacing w:after="0" w:line="121" w:lineRule="exact"/>
        <w:rPr>
          <w:sz w:val="20"/>
          <w:szCs w:val="20"/>
          <w:color w:val="auto"/>
        </w:rPr>
      </w:pPr>
    </w:p>
    <w:p>
      <w:pPr>
        <w:jc w:val="both"/>
        <w:ind w:firstLine="723"/>
        <w:spacing w:after="0" w:line="258" w:lineRule="auto"/>
        <w:rPr>
          <w:sz w:val="20"/>
          <w:szCs w:val="20"/>
          <w:color w:val="auto"/>
        </w:rPr>
      </w:pPr>
      <w:r>
        <w:rPr>
          <w:rFonts w:ascii="Times New Roman" w:cs="Times New Roman" w:eastAsia="Times New Roman" w:hAnsi="Times New Roman"/>
          <w:sz w:val="18"/>
          <w:szCs w:val="18"/>
          <w:color w:val="auto"/>
        </w:rPr>
        <w:t>Our management team has the primary responsibility for risk management and must develop appropriate processes and procedures to identify, manage and mitigate risk. Our board of directors, through its oversight role, supervises our risk management activities to ensure that the risk management processes designed and implemented by our executives are adapted to, and integrated with, the board of director’s corporate strategy, designed to support the achievement of organizational objectives, functioning as directed and that necessary steps are taken to foster a culture of risk-adjusted decision-making throughout the enterprise.</w:t>
      </w:r>
    </w:p>
    <w:p>
      <w:pPr>
        <w:spacing w:after="0" w:line="75" w:lineRule="exact"/>
        <w:rPr>
          <w:sz w:val="20"/>
          <w:szCs w:val="20"/>
          <w:color w:val="auto"/>
        </w:rPr>
      </w:pPr>
    </w:p>
    <w:p>
      <w:pPr>
        <w:jc w:val="both"/>
        <w:ind w:firstLine="723"/>
        <w:spacing w:after="0" w:line="258" w:lineRule="auto"/>
        <w:rPr>
          <w:sz w:val="20"/>
          <w:szCs w:val="20"/>
          <w:color w:val="auto"/>
        </w:rPr>
      </w:pPr>
      <w:r>
        <w:rPr>
          <w:rFonts w:ascii="Times New Roman" w:cs="Times New Roman" w:eastAsia="Times New Roman" w:hAnsi="Times New Roman"/>
          <w:sz w:val="18"/>
          <w:szCs w:val="18"/>
          <w:color w:val="auto"/>
        </w:rPr>
        <w:t>A fundamental part of risk management is not only understanding the risks a company faces and what steps management is implementing to manage those risks, but also understanding what level of risk is appropriate for the Company. The involvement of the full board of directors in setting our business strategy is a key part of the assessment of management’s appetite for risk and the determination of what constitutes an appropriate level of risk. Through dedicated sessions focusing entirely on corporate strategy, the full board reviews in detail the Company’s short- and long-term strategies, including consideration of significant risks facing the Company and their potential impact.</w:t>
      </w:r>
    </w:p>
    <w:p>
      <w:pPr>
        <w:spacing w:after="0" w:line="75" w:lineRule="exact"/>
        <w:rPr>
          <w:sz w:val="20"/>
          <w:szCs w:val="20"/>
          <w:color w:val="auto"/>
        </w:rPr>
      </w:pPr>
    </w:p>
    <w:p>
      <w:pPr>
        <w:jc w:val="both"/>
        <w:ind w:firstLine="723"/>
        <w:spacing w:after="0" w:line="25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color w:val="231F20"/>
        </w:rPr>
        <w:t>board of directors performs its risk oversight function primarily through: (i) its standing committees, which report to the entire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board and are comprised solely of independent directors; and (ii) active monitoring of our chief compliance officer and our compliance policies and procedures. For example, the board of directors manages and reviews cybersecurity risks facing our Company, including the potential for breach of our key information technology systems and systems and processes relating to the protection of customer and employee confidential information. The board of directors also meets periodically with internal IT and cybersecurity experts. Oversight of other risks is delegated to specific committees.</w:t>
      </w:r>
    </w:p>
    <w:p>
      <w:pPr>
        <w:spacing w:after="0" w:line="79" w:lineRule="exact"/>
        <w:rPr>
          <w:sz w:val="20"/>
          <w:szCs w:val="20"/>
          <w:color w:val="auto"/>
        </w:rPr>
      </w:pPr>
    </w:p>
    <w:p>
      <w:pPr>
        <w:jc w:val="both"/>
        <w:ind w:firstLine="723"/>
        <w:spacing w:after="0" w:line="255" w:lineRule="auto"/>
        <w:rPr>
          <w:sz w:val="20"/>
          <w:szCs w:val="20"/>
          <w:color w:val="auto"/>
        </w:rPr>
      </w:pPr>
      <w:r>
        <w:rPr>
          <w:rFonts w:ascii="Times New Roman" w:cs="Times New Roman" w:eastAsia="Times New Roman" w:hAnsi="Times New Roman"/>
          <w:sz w:val="18"/>
          <w:szCs w:val="18"/>
          <w:color w:val="auto"/>
        </w:rPr>
        <w:t xml:space="preserve">Oversight </w:t>
      </w:r>
      <w:r>
        <w:rPr>
          <w:rFonts w:ascii="Times New Roman" w:cs="Times New Roman" w:eastAsia="Times New Roman" w:hAnsi="Times New Roman"/>
          <w:sz w:val="18"/>
          <w:szCs w:val="18"/>
          <w:color w:val="231F20"/>
        </w:rPr>
        <w:t>of our investment activities extends to oversight of the risk management processes employed by OFS Advisor as part of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day-to-day management of our investments. The board of directors anticipates reviewing risk management processes at both regular and special board meetings throughout the year, consulting with appropriate </w:t>
      </w:r>
      <w:r>
        <w:rPr>
          <w:rFonts w:ascii="Times New Roman" w:cs="Times New Roman" w:eastAsia="Times New Roman" w:hAnsi="Times New Roman"/>
          <w:sz w:val="18"/>
          <w:szCs w:val="18"/>
          <w:color w:val="000000"/>
        </w:rPr>
        <w:t>representatives</w:t>
      </w:r>
      <w:r>
        <w:rPr>
          <w:rFonts w:ascii="Times New Roman" w:cs="Times New Roman" w:eastAsia="Times New Roman" w:hAnsi="Times New Roman"/>
          <w:sz w:val="18"/>
          <w:szCs w:val="18"/>
          <w:color w:val="231F20"/>
        </w:rPr>
        <w:t xml:space="preserve"> of OFS Advisor, as necessary, and periodically requesting the production of risk management reports or presentations. The goal of the board of director’s risk oversight function is to ensure that the risks associated with our investment activities are accurately identified, thoroughly investigated and responsibly addressed. Investors should note, however, that the board of director’s oversight function cannot eliminate all risks or ensure that particular events do not adversely affect the value of investments.</w:t>
      </w:r>
    </w:p>
    <w:p>
      <w:pPr>
        <w:spacing w:after="0" w:line="81" w:lineRule="exact"/>
        <w:rPr>
          <w:sz w:val="20"/>
          <w:szCs w:val="20"/>
          <w:color w:val="auto"/>
        </w:rPr>
      </w:pPr>
    </w:p>
    <w:p>
      <w:pPr>
        <w:jc w:val="both"/>
        <w:ind w:firstLine="723"/>
        <w:spacing w:after="0" w:line="254" w:lineRule="auto"/>
        <w:rPr>
          <w:sz w:val="20"/>
          <w:szCs w:val="20"/>
          <w:color w:val="auto"/>
        </w:rPr>
      </w:pPr>
      <w:r>
        <w:rPr>
          <w:rFonts w:ascii="Times New Roman" w:cs="Times New Roman" w:eastAsia="Times New Roman" w:hAnsi="Times New Roman"/>
          <w:sz w:val="18"/>
          <w:szCs w:val="18"/>
          <w:color w:val="auto"/>
        </w:rPr>
        <w:t xml:space="preserve">We believe that our approach to risk oversight, as described above, optimizes our ability to assess inter-relationships among the various risks, make informed cost-benefit decisions and approach emerging risks in a proactive manner for the Company. We also believe that our risk structure complements our current board leadership structure, as it allows our independent directors, through the three fully independent board committees and otherwise, to exercise oversight of the actions of management in identifying risks and implementing risk management policies and controls. </w:t>
      </w:r>
      <w:r>
        <w:rPr>
          <w:rFonts w:ascii="Times New Roman" w:cs="Times New Roman" w:eastAsia="Times New Roman" w:hAnsi="Times New Roman"/>
          <w:sz w:val="18"/>
          <w:szCs w:val="18"/>
          <w:color w:val="231F20"/>
        </w:rPr>
        <w:t>We believe that the role of our board of directors in risk oversight is effective and appropriate given the extensive regulation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which </w:t>
      </w:r>
      <w:r>
        <w:rPr>
          <w:rFonts w:ascii="Times New Roman" w:cs="Times New Roman" w:eastAsia="Times New Roman" w:hAnsi="Times New Roman"/>
          <w:sz w:val="18"/>
          <w:szCs w:val="18"/>
          <w:color w:val="000000"/>
        </w:rPr>
        <w:t>we</w:t>
      </w:r>
      <w:r>
        <w:rPr>
          <w:rFonts w:ascii="Times New Roman" w:cs="Times New Roman" w:eastAsia="Times New Roman" w:hAnsi="Times New Roman"/>
          <w:sz w:val="18"/>
          <w:szCs w:val="18"/>
          <w:color w:val="231F20"/>
        </w:rPr>
        <w:t xml:space="preserve"> are already subject as a regulated closed-end fund. As a regulated closed-end fund, we are required to comply with certain regulatory requirements that control the levels of risk in our business and operations. For example, we are limited in our ability to enter into transactions with our affiliates, including investing in floating rate credit instruments and other structured credit positions in which one of our affiliates currently has an investment.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jc w:val="both"/>
        <w:ind w:firstLine="723"/>
        <w:spacing w:after="0" w:line="261" w:lineRule="auto"/>
        <w:rPr>
          <w:sz w:val="20"/>
          <w:szCs w:val="20"/>
          <w:color w:val="auto"/>
        </w:rPr>
      </w:pPr>
      <w:r>
        <w:rPr>
          <w:rFonts w:ascii="Times New Roman" w:cs="Times New Roman" w:eastAsia="Times New Roman" w:hAnsi="Times New Roman"/>
          <w:sz w:val="18"/>
          <w:szCs w:val="18"/>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as well as interviews of selected candidates by members of the nominating and corporate governance committee and other members of the board of directors, as applicable.</w:t>
      </w:r>
    </w:p>
    <w:p>
      <w:pPr>
        <w:spacing w:after="0" w:line="72" w:lineRule="exact"/>
        <w:rPr>
          <w:sz w:val="20"/>
          <w:szCs w:val="20"/>
          <w:color w:val="auto"/>
        </w:rPr>
      </w:pPr>
    </w:p>
    <w:p>
      <w:pPr>
        <w:jc w:val="both"/>
        <w:ind w:firstLine="723"/>
        <w:spacing w:after="0" w:line="258" w:lineRule="auto"/>
        <w:rPr>
          <w:sz w:val="20"/>
          <w:szCs w:val="20"/>
          <w:color w:val="auto"/>
        </w:rPr>
      </w:pPr>
      <w:r>
        <w:rPr>
          <w:rFonts w:ascii="Times New Roman" w:cs="Times New Roman" w:eastAsia="Times New Roman" w:hAnsi="Times New Roman"/>
          <w:sz w:val="18"/>
          <w:szCs w:val="18"/>
          <w:color w:val="auto"/>
        </w:rPr>
        <w:t>In considering whether to recommend any particular candidate for inclusion in the board of director’s slate of recommended director nominees, the nominating and corporate governance committee applies the criteria included in its charter. These criteria include the candidate’s integrity, business acumen, knowledge of our business and industry, experience, diligence, conflicts of interest and the ability to act in the interests of all stockholders. The nominating and corporate governance committee does not assign specific weights to particular criteria and no particular criterion is a prerequisite for each prospective nominee.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236220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877" w:right="719" w:bottom="1440" w:gutter="0" w:footer="0" w:header="0"/>
        </w:sectPr>
      </w:pPr>
    </w:p>
    <w:bookmarkStart w:id="18" w:name="page19"/>
    <w:bookmarkEnd w:id="18"/>
    <w:p>
      <w:pPr>
        <w:jc w:val="both"/>
        <w:ind w:firstLine="723"/>
        <w:spacing w:after="0" w:line="256" w:lineRule="auto"/>
        <w:rPr>
          <w:sz w:val="20"/>
          <w:szCs w:val="20"/>
          <w:color w:val="auto"/>
        </w:rPr>
      </w:pPr>
      <w:r>
        <w:rPr>
          <w:rFonts w:ascii="Times New Roman" w:cs="Times New Roman" w:eastAsia="Times New Roman" w:hAnsi="Times New Roman"/>
          <w:sz w:val="18"/>
          <w:szCs w:val="18"/>
          <w:color w:val="auto"/>
        </w:rPr>
        <w:t>We believe that our directors and director nominees have an appropriate balance of knowledge, experience, attributes, skills and expertise required for our board of directors as a whole and that we have sufficient independent directors to comply with applicable law and regulations. We believe that our directors have a broad range of personal and professional characteristics, including: leadership; management ability; financial experience; the ability to act with integrity and sound judgment; the capacity to demonstrate innovative thinking, consider strategic proposals, assist with the development of our strategic plan and oversee its implementation; the ability to oversee our risk management efforts; and the commitment to preparation for, and attendance at, board and committee meetings.</w:t>
      </w:r>
    </w:p>
    <w:p>
      <w:pPr>
        <w:spacing w:after="0" w:line="79" w:lineRule="exact"/>
        <w:rPr>
          <w:sz w:val="20"/>
          <w:szCs w:val="20"/>
          <w:color w:val="auto"/>
        </w:rPr>
      </w:pPr>
    </w:p>
    <w:p>
      <w:pPr>
        <w:jc w:val="both"/>
        <w:ind w:firstLine="723"/>
        <w:spacing w:after="0" w:line="258" w:lineRule="auto"/>
        <w:rPr>
          <w:sz w:val="20"/>
          <w:szCs w:val="20"/>
          <w:color w:val="auto"/>
        </w:rPr>
      </w:pPr>
      <w:r>
        <w:rPr>
          <w:rFonts w:ascii="Times New Roman" w:cs="Times New Roman" w:eastAsia="Times New Roman" w:hAnsi="Times New Roman"/>
          <w:sz w:val="18"/>
          <w:szCs w:val="18"/>
          <w:color w:val="auto"/>
        </w:rPr>
        <w:t>Our board of directors does not have a specific diversity policy, but considers a number of factors in evaluating candidates for board membership, including, but not limited to: (i) personal and professional integrity, ethics and values; (ii) diversity of expertise and experience in substantive matters pertaining to the Company’s business; and (iii) diversity of background and perspective. We believe that a board composed of highly qualified individuals from diverse backgrounds promotes better corporate governance, performance and contributes to an effective decision-making process.</w:t>
      </w:r>
    </w:p>
    <w:p>
      <w:pPr>
        <w:spacing w:after="0" w:line="75" w:lineRule="exact"/>
        <w:rPr>
          <w:sz w:val="20"/>
          <w:szCs w:val="20"/>
          <w:color w:val="auto"/>
        </w:rPr>
      </w:pPr>
    </w:p>
    <w:p>
      <w:pPr>
        <w:jc w:val="both"/>
        <w:ind w:firstLine="723"/>
        <w:spacing w:after="0" w:line="256" w:lineRule="auto"/>
        <w:rPr>
          <w:sz w:val="20"/>
          <w:szCs w:val="20"/>
          <w:color w:val="auto"/>
        </w:rPr>
      </w:pPr>
      <w:r>
        <w:rPr>
          <w:rFonts w:ascii="Times New Roman" w:cs="Times New Roman" w:eastAsia="Times New Roman" w:hAnsi="Times New Roman"/>
          <w:sz w:val="18"/>
          <w:szCs w:val="18"/>
          <w:color w:val="auto"/>
        </w:rPr>
        <w:t xml:space="preserve">Stockholders may recommend individuals to the nominating and corporate governance committee for consideration as potential director candidates by submitting their names, together with appropriate biographical information and background materials, to the nominating and corporate governance committee, c/o Tod K. Reichert, Corporate Secretary, OFS Credit Company, Inc., </w:t>
      </w:r>
      <w:r>
        <w:rPr>
          <w:rFonts w:ascii="Times New Roman" w:cs="Times New Roman" w:eastAsia="Times New Roman" w:hAnsi="Times New Roman"/>
          <w:sz w:val="18"/>
          <w:szCs w:val="18"/>
          <w:color w:val="231F20"/>
        </w:rPr>
        <w:t>222 West Adams Street, Suite 1850,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Chicago, Illinois 60606</w:t>
      </w:r>
      <w:r>
        <w:rPr>
          <w:rFonts w:ascii="Times New Roman" w:cs="Times New Roman" w:eastAsia="Times New Roman" w:hAnsi="Times New Roman"/>
          <w:sz w:val="18"/>
          <w:szCs w:val="18"/>
          <w:color w:val="000000"/>
        </w:rPr>
        <w:t>. Assuming that appropriate biographical and background material has been provided on a timely basis, the nominating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and corporate governance committee will evaluate stockholder-recommended candidates by following substantially the same process, and applying substantially the same criteria, as it follows for candidates submitted by others.</w:t>
      </w:r>
    </w:p>
    <w:p>
      <w:pPr>
        <w:spacing w:after="0" w:line="79" w:lineRule="exact"/>
        <w:rPr>
          <w:sz w:val="20"/>
          <w:szCs w:val="20"/>
          <w:color w:val="auto"/>
        </w:rPr>
      </w:pPr>
    </w:p>
    <w:p>
      <w:pPr>
        <w:jc w:val="both"/>
        <w:ind w:firstLine="723"/>
        <w:spacing w:after="0" w:line="261" w:lineRule="auto"/>
        <w:rPr>
          <w:sz w:val="20"/>
          <w:szCs w:val="20"/>
          <w:color w:val="auto"/>
        </w:rPr>
      </w:pPr>
      <w:r>
        <w:rPr>
          <w:rFonts w:ascii="Times New Roman" w:cs="Times New Roman" w:eastAsia="Times New Roman" w:hAnsi="Times New Roman"/>
          <w:sz w:val="18"/>
          <w:szCs w:val="18"/>
          <w:color w:val="auto"/>
        </w:rPr>
        <w:t xml:space="preserve">Stockholders also have the right under our bylaws to directly nominate director candidates, without any action or recommendation on the part of the nominating and corporate governance committee or our board of directors, by following the procedures set forth under Article II, Section 2.11, </w:t>
      </w:r>
      <w:r>
        <w:rPr>
          <w:rFonts w:ascii="Times New Roman" w:cs="Times New Roman" w:eastAsia="Times New Roman" w:hAnsi="Times New Roman"/>
          <w:sz w:val="18"/>
          <w:szCs w:val="18"/>
          <w:i w:val="1"/>
          <w:iCs w:val="1"/>
          <w:color w:val="auto"/>
        </w:rPr>
        <w:t>“Advance Notice of Stockholder Nominees for Director and Other Stockholder Proposals,”</w:t>
      </w:r>
      <w:r>
        <w:rPr>
          <w:rFonts w:ascii="Times New Roman" w:cs="Times New Roman" w:eastAsia="Times New Roman" w:hAnsi="Times New Roman"/>
          <w:sz w:val="18"/>
          <w:szCs w:val="18"/>
          <w:color w:val="auto"/>
        </w:rPr>
        <w:t xml:space="preserve"> in our bylaws and that are described in this proxy statement under the heading “Submission of Stockholder Proposals.”</w:t>
      </w:r>
    </w:p>
    <w:p>
      <w:pPr>
        <w:spacing w:after="0" w:line="72" w:lineRule="exact"/>
        <w:rPr>
          <w:sz w:val="20"/>
          <w:szCs w:val="20"/>
          <w:color w:val="auto"/>
        </w:rPr>
      </w:pPr>
    </w:p>
    <w:p>
      <w:pPr>
        <w:jc w:val="both"/>
        <w:ind w:firstLine="723"/>
        <w:spacing w:after="0" w:line="282" w:lineRule="auto"/>
        <w:rPr>
          <w:sz w:val="20"/>
          <w:szCs w:val="20"/>
          <w:color w:val="auto"/>
        </w:rPr>
      </w:pPr>
      <w:r>
        <w:rPr>
          <w:rFonts w:ascii="Times New Roman" w:cs="Times New Roman" w:eastAsia="Times New Roman" w:hAnsi="Times New Roman"/>
          <w:sz w:val="18"/>
          <w:szCs w:val="18"/>
          <w:color w:val="auto"/>
        </w:rPr>
        <w:t>At the Annual Meeting, stockholders will be asked to consider the election of two independent directors, Kate M. Fitta and Romita Shetty, each of whom are standing for re-election.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Sessions and Communicating with the Board of Directors</w:t>
      </w:r>
    </w:p>
    <w:p>
      <w:pPr>
        <w:spacing w:after="0" w:line="121" w:lineRule="exact"/>
        <w:rPr>
          <w:sz w:val="20"/>
          <w:szCs w:val="20"/>
          <w:color w:val="auto"/>
        </w:rPr>
      </w:pPr>
    </w:p>
    <w:p>
      <w:pPr>
        <w:jc w:val="both"/>
        <w:ind w:firstLine="723"/>
        <w:spacing w:after="0" w:line="261" w:lineRule="auto"/>
        <w:rPr>
          <w:sz w:val="20"/>
          <w:szCs w:val="20"/>
          <w:color w:val="auto"/>
        </w:rPr>
      </w:pPr>
      <w:r>
        <w:rPr>
          <w:rFonts w:ascii="Times New Roman" w:cs="Times New Roman" w:eastAsia="Times New Roman" w:hAnsi="Times New Roman"/>
          <w:sz w:val="18"/>
          <w:szCs w:val="18"/>
          <w:color w:val="auto"/>
        </w:rPr>
        <w:t>The independent directors serving on our board of directors intend to meet in executive sessions at the conclusion of regularly scheduled meetings of the board of directors, and additionally as needed, without the presence of any directors or other persons who are part of the Company’s management. These executive sessions of our board of directors are presided over by Ms. Griggs, the Company’s Lead Independent Director.</w:t>
      </w:r>
    </w:p>
    <w:p>
      <w:pPr>
        <w:spacing w:after="0" w:line="72" w:lineRule="exact"/>
        <w:rPr>
          <w:sz w:val="20"/>
          <w:szCs w:val="20"/>
          <w:color w:val="auto"/>
        </w:rPr>
      </w:pPr>
    </w:p>
    <w:p>
      <w:pPr>
        <w:jc w:val="both"/>
        <w:ind w:firstLine="723"/>
        <w:spacing w:after="0" w:line="258" w:lineRule="auto"/>
        <w:rPr>
          <w:sz w:val="20"/>
          <w:szCs w:val="20"/>
          <w:color w:val="auto"/>
        </w:rPr>
      </w:pPr>
      <w:r>
        <w:rPr>
          <w:rFonts w:ascii="Times New Roman" w:cs="Times New Roman" w:eastAsia="Times New Roman" w:hAnsi="Times New Roman"/>
          <w:sz w:val="18"/>
          <w:szCs w:val="18"/>
          <w:color w:val="auto"/>
        </w:rPr>
        <w:t>Our board of directors will give appropriate attention to written communications that are submitted by stockholders, and will respond if and as appropriate. The Chairman of the Board (if an independent director), or the lead director (if one is appointed), or otherwise the chairperson of the nominating and corporate governance committee, with advice and assistance from the general counsel and chief compliance officer and, if requested, outside legal counsel, is primarily responsible for monitoring communications from stockholders and for providing copies of summaries of such communications to the other directors as he or she considers appropriate.</w:t>
      </w:r>
    </w:p>
    <w:p>
      <w:pPr>
        <w:spacing w:after="0" w:line="75" w:lineRule="exact"/>
        <w:rPr>
          <w:sz w:val="20"/>
          <w:szCs w:val="20"/>
          <w:color w:val="auto"/>
        </w:rPr>
      </w:pPr>
    </w:p>
    <w:p>
      <w:pPr>
        <w:jc w:val="both"/>
        <w:ind w:firstLine="723"/>
        <w:spacing w:after="0" w:line="261" w:lineRule="auto"/>
        <w:rPr>
          <w:sz w:val="20"/>
          <w:szCs w:val="20"/>
          <w:color w:val="auto"/>
        </w:rPr>
      </w:pPr>
      <w:r>
        <w:rPr>
          <w:rFonts w:ascii="Times New Roman" w:cs="Times New Roman" w:eastAsia="Times New Roman" w:hAnsi="Times New Roman"/>
          <w:sz w:val="18"/>
          <w:szCs w:val="18"/>
          <w:color w:val="auto"/>
        </w:rPr>
        <w:t>Communications are forwarded to all directors if they relate to important substantive matters and include suggestions or comments that the Chairman of the Board considers to be important for the directors to know. In general, communications relating to corporate governance and corporate strategy are more likely to be forwarded than communications relating to ordinary business affairs, personal grievances and matters as to which we tend to receive repetitive or duplicative communications.</w:t>
      </w:r>
    </w:p>
    <w:p>
      <w:pPr>
        <w:spacing w:after="0" w:line="72" w:lineRule="exact"/>
        <w:rPr>
          <w:sz w:val="20"/>
          <w:szCs w:val="20"/>
          <w:color w:val="auto"/>
        </w:rPr>
      </w:pPr>
    </w:p>
    <w:p>
      <w:pPr>
        <w:jc w:val="both"/>
        <w:ind w:firstLine="723"/>
        <w:spacing w:after="0" w:line="266" w:lineRule="auto"/>
        <w:rPr>
          <w:sz w:val="20"/>
          <w:szCs w:val="20"/>
          <w:color w:val="auto"/>
        </w:rPr>
      </w:pPr>
      <w:r>
        <w:rPr>
          <w:rFonts w:ascii="Times New Roman" w:cs="Times New Roman" w:eastAsia="Times New Roman" w:hAnsi="Times New Roman"/>
          <w:sz w:val="18"/>
          <w:szCs w:val="18"/>
          <w:color w:val="auto"/>
        </w:rPr>
        <w:t xml:space="preserve">Stockholders who wish to send communications on any topic to the board of directors should address such communications to the board of directors of OFS Credit Company, Inc., c/o Tod K. Reichert, Corporate Secretary, OFS Credit Company, Inc., </w:t>
      </w:r>
      <w:r>
        <w:rPr>
          <w:rFonts w:ascii="Times New Roman" w:cs="Times New Roman" w:eastAsia="Times New Roman" w:hAnsi="Times New Roman"/>
          <w:sz w:val="18"/>
          <w:szCs w:val="18"/>
          <w:color w:val="231F20"/>
        </w:rPr>
        <w:t>222 West Adams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Suite 1850, Chicago, Illinois 60606</w:t>
      </w:r>
      <w:r>
        <w:rPr>
          <w:rFonts w:ascii="Times New Roman" w:cs="Times New Roman" w:eastAsia="Times New Roman" w:hAnsi="Times New Roman"/>
          <w:sz w:val="18"/>
          <w:szCs w:val="18"/>
          <w:color w:val="000000"/>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Related-Party Transactions and Certain Relationships</w:t>
      </w:r>
    </w:p>
    <w:p>
      <w:pPr>
        <w:spacing w:after="0" w:line="121" w:lineRule="exact"/>
        <w:rPr>
          <w:sz w:val="20"/>
          <w:szCs w:val="20"/>
          <w:color w:val="auto"/>
        </w:rPr>
      </w:pPr>
    </w:p>
    <w:p>
      <w:pPr>
        <w:jc w:val="both"/>
        <w:ind w:firstLine="723"/>
        <w:spacing w:after="0" w:line="282" w:lineRule="auto"/>
        <w:rPr>
          <w:sz w:val="20"/>
          <w:szCs w:val="20"/>
          <w:color w:val="auto"/>
        </w:rPr>
      </w:pPr>
      <w:r>
        <w:rPr>
          <w:rFonts w:ascii="Times New Roman" w:cs="Times New Roman" w:eastAsia="Times New Roman" w:hAnsi="Times New Roman"/>
          <w:sz w:val="18"/>
          <w:szCs w:val="18"/>
          <w:color w:val="231F20"/>
        </w:rPr>
        <w:t xml:space="preserve">We have entered into agreements with OFS Advisor and its affiliates in which certain members of our senior </w:t>
      </w:r>
      <w:r>
        <w:rPr>
          <w:rFonts w:ascii="Times New Roman" w:cs="Times New Roman" w:eastAsia="Times New Roman" w:hAnsi="Times New Roman"/>
          <w:sz w:val="18"/>
          <w:szCs w:val="18"/>
          <w:color w:val="000000"/>
        </w:rPr>
        <w:t>management</w:t>
      </w:r>
      <w:r>
        <w:rPr>
          <w:rFonts w:ascii="Times New Roman" w:cs="Times New Roman" w:eastAsia="Times New Roman" w:hAnsi="Times New Roman"/>
          <w:sz w:val="18"/>
          <w:szCs w:val="18"/>
          <w:color w:val="231F20"/>
        </w:rPr>
        <w:t xml:space="preserve"> have ownership and financial interests.</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Investment Advisory and Management Agreement</w:t>
      </w:r>
    </w:p>
    <w:p>
      <w:pPr>
        <w:spacing w:after="0" w:line="121" w:lineRule="exact"/>
        <w:rPr>
          <w:sz w:val="20"/>
          <w:szCs w:val="20"/>
          <w:color w:val="auto"/>
        </w:rPr>
      </w:pPr>
    </w:p>
    <w:p>
      <w:pPr>
        <w:jc w:val="both"/>
        <w:ind w:firstLine="723"/>
        <w:spacing w:after="0" w:line="258" w:lineRule="auto"/>
        <w:rPr>
          <w:sz w:val="20"/>
          <w:szCs w:val="20"/>
          <w:color w:val="auto"/>
        </w:rPr>
      </w:pPr>
      <w:r>
        <w:rPr>
          <w:rFonts w:ascii="Times New Roman" w:cs="Times New Roman" w:eastAsia="Times New Roman" w:hAnsi="Times New Roman"/>
          <w:sz w:val="18"/>
          <w:szCs w:val="18"/>
          <w:color w:val="231F20"/>
        </w:rPr>
        <w:t>We have entered into an Investment Advisory and Management Agreement with OFS Advisor and will pay OFS Advisor a base management fee and an incentive fee. The incentive fee will be computed and paid on income that we may not yet have received in cash. This fee structure may create an incentive for OFS Advisor to invest in certain types of securities. In addition, the determination of fair value and, consequently, the amount of unrealized gains and losses in our portfolio, are, to a significant degree, subjective and dependent on a valuation process undertaken by OFS Advisor</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236220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877" w:right="719" w:bottom="1440" w:gutter="0" w:footer="0" w:header="0"/>
        </w:sectPr>
      </w:pPr>
    </w:p>
    <w:bookmarkStart w:id="19" w:name="page20"/>
    <w:bookmarkEnd w:id="19"/>
    <w:p>
      <w:pPr>
        <w:jc w:val="both"/>
        <w:spacing w:after="0" w:line="255" w:lineRule="auto"/>
        <w:rPr>
          <w:sz w:val="20"/>
          <w:szCs w:val="20"/>
          <w:color w:val="auto"/>
        </w:rPr>
      </w:pPr>
      <w:r>
        <w:rPr>
          <w:rFonts w:ascii="Times New Roman" w:cs="Times New Roman" w:eastAsia="Times New Roman" w:hAnsi="Times New Roman"/>
          <w:sz w:val="18"/>
          <w:szCs w:val="18"/>
          <w:color w:val="231F20"/>
        </w:rPr>
        <w:t>and overseen by our board of directors. OFS Advisor’s base management fee and incentive fee are based on the value of our investments and there may be a conflict of interest because personnel of OFS Advisor are involved in the valuation process for our portfolio investments. In addition, the incentive fee payable by us to OFS Advisor may create an incentive for OFS Advisor to cause us to make more speculative investments or increase our debt outstanding more than would be the case in the absence of such compensation arrangement. The base management fee that we paid to OFS Advisor for Fiscal Year 2025 and for the six-month period ended April 30, 2026 was $4.80 million and $1.95 million, respectively. The incentive fee that we paid to OFS Advisor for Fiscal Year 2025 and for the six-month period ended April 30, 2026 was $5.65 million and $</w:t>
      </w:r>
      <w:r>
        <w:rPr>
          <w:rFonts w:ascii="Times New Roman" w:cs="Times New Roman" w:eastAsia="Times New Roman" w:hAnsi="Times New Roman"/>
          <w:sz w:val="18"/>
          <w:szCs w:val="18"/>
          <w:color w:val="000000"/>
        </w:rPr>
        <w:t>2.46 million</w:t>
      </w:r>
      <w:r>
        <w:rPr>
          <w:rFonts w:ascii="Times New Roman" w:cs="Times New Roman" w:eastAsia="Times New Roman" w:hAnsi="Times New Roman"/>
          <w:sz w:val="18"/>
          <w:szCs w:val="18"/>
          <w:color w:val="231F20"/>
        </w:rPr>
        <w:t>, respectively.</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License Agreement</w:t>
      </w:r>
    </w:p>
    <w:p>
      <w:pPr>
        <w:spacing w:after="0" w:line="121" w:lineRule="exact"/>
        <w:rPr>
          <w:sz w:val="20"/>
          <w:szCs w:val="20"/>
          <w:color w:val="auto"/>
        </w:rPr>
      </w:pPr>
    </w:p>
    <w:p>
      <w:pPr>
        <w:jc w:val="both"/>
        <w:ind w:firstLine="723"/>
        <w:spacing w:after="0" w:line="282" w:lineRule="auto"/>
        <w:rPr>
          <w:sz w:val="20"/>
          <w:szCs w:val="20"/>
          <w:color w:val="auto"/>
        </w:rPr>
      </w:pPr>
      <w:r>
        <w:rPr>
          <w:rFonts w:ascii="Times New Roman" w:cs="Times New Roman" w:eastAsia="Times New Roman" w:hAnsi="Times New Roman"/>
          <w:sz w:val="18"/>
          <w:szCs w:val="18"/>
          <w:color w:val="231F20"/>
        </w:rPr>
        <w:t xml:space="preserve">We have </w:t>
      </w:r>
      <w:r>
        <w:rPr>
          <w:rFonts w:ascii="Times New Roman" w:cs="Times New Roman" w:eastAsia="Times New Roman" w:hAnsi="Times New Roman"/>
          <w:sz w:val="18"/>
          <w:szCs w:val="18"/>
          <w:color w:val="000000"/>
        </w:rPr>
        <w:t>entered</w:t>
      </w:r>
      <w:r>
        <w:rPr>
          <w:rFonts w:ascii="Times New Roman" w:cs="Times New Roman" w:eastAsia="Times New Roman" w:hAnsi="Times New Roman"/>
          <w:sz w:val="18"/>
          <w:szCs w:val="18"/>
          <w:color w:val="231F20"/>
        </w:rPr>
        <w:t xml:space="preserve"> into a license agreement with OFSAM under which OFSAM grants us a non-exclusive, royalty-free license to use the name “OFS.”</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Administration Agreement</w:t>
      </w:r>
    </w:p>
    <w:p>
      <w:pPr>
        <w:spacing w:after="0" w:line="121" w:lineRule="exact"/>
        <w:rPr>
          <w:sz w:val="20"/>
          <w:szCs w:val="20"/>
          <w:color w:val="auto"/>
        </w:rPr>
      </w:pPr>
    </w:p>
    <w:p>
      <w:pPr>
        <w:jc w:val="both"/>
        <w:ind w:firstLine="723"/>
        <w:spacing w:after="0" w:line="256" w:lineRule="auto"/>
        <w:rPr>
          <w:sz w:val="20"/>
          <w:szCs w:val="20"/>
          <w:color w:val="auto"/>
        </w:rPr>
      </w:pPr>
      <w:r>
        <w:rPr>
          <w:rFonts w:ascii="Times New Roman" w:cs="Times New Roman" w:eastAsia="Times New Roman" w:hAnsi="Times New Roman"/>
          <w:sz w:val="18"/>
          <w:szCs w:val="18"/>
          <w:color w:val="231F20"/>
        </w:rPr>
        <w:t xml:space="preserve">We have entered into an Administration Agreement, pursuant to which OFS Capital Services, LLC (“OFS Services”) furnishes us with office facilities, equipment, necessary software licenses and subscriptions and clerical, bookkeeping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31F20"/>
        </w:rPr>
        <w:t xml:space="preserve"> record keeping services at such facilities. Under our Administration Agreement, OFS Services performs, or oversees the performance of, our required administrative services, which include, among other things, being responsible for the financial records that we are required to maintain and preparing reports to our stockholders and all other reports and materials required to be filed with the SEC or any other regulatory authority. The administration fee expense for Fiscal Year 2025 and for the six-month period ended April 30, 2026 was $1.41 million and $</w:t>
      </w:r>
      <w:r>
        <w:rPr>
          <w:rFonts w:ascii="Times New Roman" w:cs="Times New Roman" w:eastAsia="Times New Roman" w:hAnsi="Times New Roman"/>
          <w:sz w:val="18"/>
          <w:szCs w:val="18"/>
          <w:color w:val="000000"/>
        </w:rPr>
        <w:t>645,645</w:t>
      </w:r>
      <w:r>
        <w:rPr>
          <w:rFonts w:ascii="Times New Roman" w:cs="Times New Roman" w:eastAsia="Times New Roman" w:hAnsi="Times New Roman"/>
          <w:sz w:val="18"/>
          <w:szCs w:val="18"/>
          <w:color w:val="231F20"/>
        </w:rPr>
        <w:t>, respectively.</w:t>
      </w:r>
    </w:p>
    <w:p>
      <w:pPr>
        <w:spacing w:after="0" w:line="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Staffing Agreements</w:t>
      </w:r>
    </w:p>
    <w:p>
      <w:pPr>
        <w:spacing w:after="0" w:line="121" w:lineRule="exact"/>
        <w:rPr>
          <w:sz w:val="20"/>
          <w:szCs w:val="20"/>
          <w:color w:val="auto"/>
        </w:rPr>
      </w:pPr>
    </w:p>
    <w:p>
      <w:pPr>
        <w:jc w:val="both"/>
        <w:ind w:firstLine="723"/>
        <w:spacing w:after="0" w:line="252" w:lineRule="auto"/>
        <w:rPr>
          <w:sz w:val="20"/>
          <w:szCs w:val="20"/>
          <w:color w:val="auto"/>
        </w:rPr>
      </w:pPr>
      <w:r>
        <w:rPr>
          <w:rFonts w:ascii="Times New Roman" w:cs="Times New Roman" w:eastAsia="Times New Roman" w:hAnsi="Times New Roman"/>
          <w:sz w:val="18"/>
          <w:szCs w:val="18"/>
          <w:color w:val="231F20"/>
        </w:rPr>
        <w:t>OFS Advisor is an affiliate of OFSC, with which it has entered into a Staffing and Corporate Services Agreement (the “Staffing Agreement”). Under the Staffing Agreement, OFSC makes available to OFS Advisor experienced investment professionals and access to the senior investment personnel and other resources of OFSC and its affiliates. Experienced investment professionals include investment professionals with reasonable industry experience who are responsible for making investment decisions, conducting research and analysis, and managing risks to achieve their clients’ financial goals. Roles and titles of such individuals include, but are not limited to, directors, associates and analysts who evaluate, structure, monitor and review investments of OFS Advisor and its clients, including the Company. Senior investment personnel include investment professionals that have developed a broad network of contacts within the investment community and that have an average of over 25 years of investing experience, including experience with structuring and investing in collateralized loan obligations (“CLOs”), as well as investing in assets that constitute the underlying assets held by the typical CLOs in which the Company will invest. Roles and titles of such individuals include president, chief executive officer, chief financial officer, senior managing director and managing director. The Staffing Agreement provides OFS Advisor with access to deal flow generated by the professionals of OFSC and its affiliates and commits the members of the Advisor Investment Committees (discussed below) to serve in that capacity. OFS Advisor capitalizes on the deal origination and sourcing, credit underwriting, due diligence, investment structuring, execution, portfolio management and monitoring experience of OFSC’s investment professionals.</w:t>
      </w:r>
    </w:p>
    <w:p>
      <w:pPr>
        <w:spacing w:after="0" w:line="116" w:lineRule="exact"/>
        <w:rPr>
          <w:sz w:val="20"/>
          <w:szCs w:val="20"/>
          <w:color w:val="auto"/>
        </w:rPr>
      </w:pPr>
    </w:p>
    <w:p>
      <w:pPr>
        <w:jc w:val="both"/>
        <w:ind w:firstLine="723"/>
        <w:spacing w:after="0" w:line="282" w:lineRule="auto"/>
        <w:rPr>
          <w:sz w:val="20"/>
          <w:szCs w:val="20"/>
          <w:color w:val="auto"/>
        </w:rPr>
      </w:pPr>
      <w:r>
        <w:rPr>
          <w:rFonts w:ascii="Times New Roman" w:cs="Times New Roman" w:eastAsia="Times New Roman" w:hAnsi="Times New Roman"/>
          <w:sz w:val="18"/>
          <w:szCs w:val="18"/>
          <w:color w:val="231F20"/>
        </w:rPr>
        <w:t xml:space="preserve">OFSC also has </w:t>
      </w:r>
      <w:r>
        <w:rPr>
          <w:rFonts w:ascii="Times New Roman" w:cs="Times New Roman" w:eastAsia="Times New Roman" w:hAnsi="Times New Roman"/>
          <w:sz w:val="18"/>
          <w:szCs w:val="18"/>
          <w:color w:val="000000"/>
        </w:rPr>
        <w:t>entered</w:t>
      </w:r>
      <w:r>
        <w:rPr>
          <w:rFonts w:ascii="Times New Roman" w:cs="Times New Roman" w:eastAsia="Times New Roman" w:hAnsi="Times New Roman"/>
          <w:sz w:val="18"/>
          <w:szCs w:val="18"/>
          <w:color w:val="231F20"/>
        </w:rPr>
        <w:t xml:space="preserve"> into a Staffing and Corporate Services Agreement with OFS Services. Under this agreement, OFS Services makes available to OFSC the administrative resources of OFS Services.</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Investment Committees, Investment Allocation and Transactions with Certain Affiliates</w:t>
      </w:r>
    </w:p>
    <w:p>
      <w:pPr>
        <w:spacing w:after="0" w:line="121" w:lineRule="exact"/>
        <w:rPr>
          <w:sz w:val="20"/>
          <w:szCs w:val="20"/>
          <w:color w:val="auto"/>
        </w:rPr>
      </w:pPr>
    </w:p>
    <w:p>
      <w:pPr>
        <w:jc w:val="both"/>
        <w:ind w:firstLine="723"/>
        <w:spacing w:after="0" w:line="254" w:lineRule="auto"/>
        <w:rPr>
          <w:sz w:val="20"/>
          <w:szCs w:val="20"/>
          <w:color w:val="auto"/>
        </w:rPr>
      </w:pPr>
      <w:r>
        <w:rPr>
          <w:rFonts w:ascii="Times New Roman" w:cs="Times New Roman" w:eastAsia="Times New Roman" w:hAnsi="Times New Roman"/>
          <w:sz w:val="18"/>
          <w:szCs w:val="18"/>
          <w:color w:val="231F20"/>
        </w:rPr>
        <w:t>OFS Advisor and its affiliates manage other assets and funds, and may manage other entities in the future, including BDCs, and these other funds and entities may have similar or overlapping investment strategies. OFS Advisor’s Pre-Allocation Investment Committee, Middle Market Investment Committee, Broadly Syndicated Investment Committee and Structured Credit Investment Committee, (the “Structured Credit Investment Committee”, and collectively, the “Advisor Investment Committees”), are responsible for the overall asset allocation decisions and the evaluation and approval of investments of OFS Advisor’s advisory clients. The Structured Credit Investment Committee, which is comprised of Richard Ressler (Chairman), Bilal Rashid, Glen Ostrander and Kenneth A. Brown, is responsible for the evaluation and approval of all the investments made by us directly or through our wholly-owned subsidiaries, as appropriate. The Structured Credit Investment Committee also determines appropriate investment sizing and implements ongoing monitoring requirements of our investments.</w:t>
      </w:r>
    </w:p>
    <w:p>
      <w:pPr>
        <w:spacing w:after="0" w:line="84" w:lineRule="exact"/>
        <w:rPr>
          <w:sz w:val="20"/>
          <w:szCs w:val="20"/>
          <w:color w:val="auto"/>
        </w:rPr>
      </w:pPr>
    </w:p>
    <w:p>
      <w:pPr>
        <w:jc w:val="both"/>
        <w:ind w:firstLine="723"/>
        <w:spacing w:after="0" w:line="261" w:lineRule="auto"/>
        <w:rPr>
          <w:sz w:val="20"/>
          <w:szCs w:val="20"/>
          <w:color w:val="auto"/>
        </w:rPr>
      </w:pPr>
      <w:r>
        <w:rPr>
          <w:rFonts w:ascii="Times New Roman" w:cs="Times New Roman" w:eastAsia="Times New Roman" w:hAnsi="Times New Roman"/>
          <w:sz w:val="18"/>
          <w:szCs w:val="18"/>
          <w:color w:val="231F20"/>
        </w:rPr>
        <w:t>Our senior management, members of the Advisor Investment Committees, members of the Structured Credit Investment Committee and other investment professionals from OFSAM Holdings or its other affiliates are serving or may serve as officers, directors or principals of:</w:t>
      </w:r>
    </w:p>
    <w:p>
      <w:pPr>
        <w:jc w:val="both"/>
        <w:ind w:firstLine="2"/>
        <w:spacing w:after="0" w:line="253" w:lineRule="auto"/>
        <w:tabs>
          <w:tab w:leader="none" w:pos="221"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entities that operate in the same or a related line of business as we do; (ii) entities in which we invest or in which we are considering making an investment; or (iii) investment funds or other investment vehicles managed by OFS Advisor or its affiliates. Through these and other relationships, these individuals may obtain material non-public information that might restrict our ability to buy or sell the securities of a company under the policies of the Company or applicable law.</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236220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877" w:right="719" w:bottom="1440" w:gutter="0" w:footer="0" w:header="0"/>
        </w:sectPr>
      </w:pPr>
    </w:p>
    <w:bookmarkStart w:id="20" w:name="page21"/>
    <w:bookmarkEnd w:id="20"/>
    <w:p>
      <w:pPr>
        <w:jc w:val="both"/>
        <w:ind w:firstLine="723"/>
        <w:spacing w:after="0" w:line="254" w:lineRule="auto"/>
        <w:rPr>
          <w:sz w:val="20"/>
          <w:szCs w:val="20"/>
          <w:color w:val="auto"/>
        </w:rPr>
      </w:pPr>
      <w:r>
        <w:rPr>
          <w:rFonts w:ascii="Times New Roman" w:cs="Times New Roman" w:eastAsia="Times New Roman" w:hAnsi="Times New Roman"/>
          <w:sz w:val="18"/>
          <w:szCs w:val="18"/>
          <w:color w:val="auto"/>
        </w:rPr>
        <w:t>Similarly, OFS Advisor and/or its affiliates have other clients with similar, different or competing investment objectives. In serving in these multiple capacities, they may have obligations to other clients or investors in those entities, the fulfillment of which may not be in the best interests of us or our stockholders. An investment opportunity that is suitable for multiple clients of OFS Advisor and its affiliates may not be capable of being shared among some or all of such clients and affiliates due to the limited scale of the opportunity or other factors, including regulatory restrictions imposed by the 1940 Act. There can be no assurance that OFS Advisor’s or its affiliates’ efforts to allocate any particular investment opportunity fairly and equitably among all clients for whom such opportunity is appropriate will result in an allocation of all or part of such opportunity to us. Not all conflicts of interest can be expected to be resolved in our favor. As a result, we may not be given the opportunity to participate in certain investments made by investment funds, accounts or other investment vehicles managed by OFS Advisor and its affiliates or by members of our investment committees</w:t>
      </w:r>
      <w:r>
        <w:rPr>
          <w:rFonts w:ascii="Times New Roman" w:cs="Times New Roman" w:eastAsia="Times New Roman" w:hAnsi="Times New Roman"/>
          <w:sz w:val="18"/>
          <w:szCs w:val="18"/>
          <w:color w:val="231F20"/>
        </w:rPr>
        <w:t>.</w:t>
      </w:r>
    </w:p>
    <w:p>
      <w:pPr>
        <w:spacing w:after="0" w:line="80" w:lineRule="exact"/>
        <w:rPr>
          <w:sz w:val="20"/>
          <w:szCs w:val="20"/>
          <w:color w:val="auto"/>
        </w:rPr>
      </w:pPr>
    </w:p>
    <w:p>
      <w:pPr>
        <w:jc w:val="both"/>
        <w:ind w:firstLine="723"/>
        <w:spacing w:after="0" w:line="254" w:lineRule="auto"/>
        <w:rPr>
          <w:sz w:val="20"/>
          <w:szCs w:val="20"/>
          <w:color w:val="auto"/>
        </w:rPr>
      </w:pPr>
      <w:r>
        <w:rPr>
          <w:rFonts w:ascii="Times New Roman" w:cs="Times New Roman" w:eastAsia="Times New Roman" w:hAnsi="Times New Roman"/>
          <w:sz w:val="18"/>
          <w:szCs w:val="18"/>
          <w:color w:val="231F20"/>
        </w:rPr>
        <w:t>We are prohibited under the 1940 Act from participating in certain transactions with our affiliates without the prior approval of our independent directors and, in some cases, of the SEC. Those transactions include purchases and sales, and so-called “joint” transactions, in which we and one or more of our affiliates are engaging together in certain types of profit-making activities. Any person that owns, directly or indirectly, five percent or more of our outstanding voting securities will be our affiliate for purposes of the 1940 Act, and we are generally prohibited from engaging in purchases from, sales of assets to, or joint transactions with such affiliates, absent the prior approval of our independent directors. Additionally, without the approval of the SEC, we are prohibited from engaging in purchases from, or sales of assets to, or joint transactions with certain affiliates, including: (a) our officers, directors, and employees; (b) OFS Advisor and its affiliates; and (c) OFSAM Holdings and its affiliates.</w:t>
      </w:r>
    </w:p>
    <w:p>
      <w:pPr>
        <w:spacing w:after="0" w:line="84" w:lineRule="exact"/>
        <w:rPr>
          <w:sz w:val="20"/>
          <w:szCs w:val="20"/>
          <w:color w:val="auto"/>
        </w:rPr>
      </w:pPr>
    </w:p>
    <w:p>
      <w:pPr>
        <w:jc w:val="both"/>
        <w:ind w:firstLine="723"/>
        <w:spacing w:after="0" w:line="254" w:lineRule="auto"/>
        <w:rPr>
          <w:sz w:val="20"/>
          <w:szCs w:val="20"/>
          <w:color w:val="auto"/>
        </w:rPr>
      </w:pPr>
      <w:r>
        <w:rPr>
          <w:rFonts w:ascii="Times New Roman" w:cs="Times New Roman" w:eastAsia="Times New Roman" w:hAnsi="Times New Roman"/>
          <w:sz w:val="18"/>
          <w:szCs w:val="18"/>
          <w:color w:val="231F20"/>
        </w:rPr>
        <w:t>We may, however, invest alongside OFSAM Holdings and its affiliates or their respective other clients in certain circumstances where doing so is consistent with current law and SEC staff interpretations. For example, we may invest alongside such accounts consistent with guidance promulgated by the SEC staff permitting us and such other accounts to purchase interests in a single class of privately placed securities so long as certain conditions are met, including that OFS Advisor, acting on our behalf and on behalf of other clients, negotiates no term other than price. Co-investment with such other accounts is not permitted or appropriate under this guidance when there is an opportunity to invest in different securities of the same issuer or where the different investments could be expected to result in a conflict between our interests and those of other accounts. Moreover, except in certain circumstances, this guidance does not permit us to invest in any issuer in which OFSAM Holdings and its affiliates or a fund managed by OFSAM Holdings or its affiliates has previously invested.</w:t>
      </w:r>
    </w:p>
    <w:p>
      <w:pPr>
        <w:spacing w:after="0" w:line="84" w:lineRule="exact"/>
        <w:rPr>
          <w:sz w:val="20"/>
          <w:szCs w:val="20"/>
          <w:color w:val="auto"/>
        </w:rPr>
      </w:pPr>
    </w:p>
    <w:p>
      <w:pPr>
        <w:jc w:val="both"/>
        <w:ind w:firstLine="723"/>
        <w:spacing w:after="0" w:line="253" w:lineRule="auto"/>
        <w:rPr>
          <w:sz w:val="20"/>
          <w:szCs w:val="20"/>
          <w:color w:val="auto"/>
        </w:rPr>
      </w:pPr>
      <w:r>
        <w:rPr>
          <w:rFonts w:ascii="Times New Roman" w:cs="Times New Roman" w:eastAsia="Times New Roman" w:hAnsi="Times New Roman"/>
          <w:sz w:val="18"/>
          <w:szCs w:val="18"/>
          <w:color w:val="231F20"/>
        </w:rPr>
        <w:t>On August 4, 2020, we received exemptive relief from the SEC to permit us to co-invest in portfolio companies with certain other funds, including BDCs and registered investment companies, managed by OFS Advisor (the “Affiliated Funds”) in a manner consistent with our investment objective, positions, policies, strategies and restrictions as well as regulatory requirements and other pertinent factors, subject to compliance with certain conditions (the “Order”). The Order superseded a previous co-investment order we received on October 12, 2016 and provides us with greater flexibility to enter into co-investment transactions with Affiliated Funds. We are generally permitted to co-invest with Affiliated Funds if under the terms of the Order, a “required majority” (as defined in Section 57(o) of the 1940 Act) of our independent directors make certain conclusions in connection with a co-investment transaction, including that: (1) the terms of the transaction, including the consideration to be paid, are reasonable and fair to us and our stockholders and do not involve overreaching by us or our stockholders on the part of any person concerned; (2) the transaction is consistent with the interests of our stockholders and is consistent with our investment objective and strategies; (3) the investment by our affiliates would not disadvantage us, and our participation would not be on a basis different from or less advantageous than that on which our affiliates are investing; and (4) the proposed investment by us would not benefit OFS Advisor, the other Affiliated Funds that are participating in the investment, or any affiliated person of any of them (other than parties to the transaction), except to the extent permitted by the exemptive relief and applicable law, including the limitations set forth in Section 57(k) of the 1940 Act.</w:t>
      </w:r>
    </w:p>
    <w:p>
      <w:pPr>
        <w:spacing w:after="0" w:line="79" w:lineRule="exact"/>
        <w:rPr>
          <w:sz w:val="20"/>
          <w:szCs w:val="20"/>
          <w:color w:val="auto"/>
        </w:rPr>
      </w:pPr>
    </w:p>
    <w:p>
      <w:pPr>
        <w:jc w:val="both"/>
        <w:ind w:firstLine="723"/>
        <w:spacing w:after="0" w:line="266" w:lineRule="auto"/>
        <w:rPr>
          <w:sz w:val="20"/>
          <w:szCs w:val="20"/>
          <w:color w:val="auto"/>
        </w:rPr>
      </w:pPr>
      <w:r>
        <w:rPr>
          <w:rFonts w:ascii="Times New Roman" w:cs="Times New Roman" w:eastAsia="Times New Roman" w:hAnsi="Times New Roman"/>
          <w:sz w:val="18"/>
          <w:szCs w:val="18"/>
          <w:color w:val="231F20"/>
        </w:rPr>
        <w:t xml:space="preserve">In addition, we have submitted a new application for exemptive relief that, if granted, would supersede our existing Order and permit us to co-invest pursuant to a different set of conditions than those in our existing Order. However, there is no guarantee that the </w:t>
      </w:r>
      <w:r>
        <w:rPr>
          <w:rFonts w:ascii="Times New Roman" w:cs="Times New Roman" w:eastAsia="Times New Roman" w:hAnsi="Times New Roman"/>
          <w:sz w:val="18"/>
          <w:szCs w:val="18"/>
          <w:color w:val="000000"/>
        </w:rPr>
        <w:t>SEC will grant</w:t>
      </w:r>
      <w:r>
        <w:rPr>
          <w:rFonts w:ascii="Times New Roman" w:cs="Times New Roman" w:eastAsia="Times New Roman" w:hAnsi="Times New Roman"/>
          <w:sz w:val="18"/>
          <w:szCs w:val="18"/>
          <w:color w:val="231F20"/>
        </w:rPr>
        <w:t xml:space="preserve"> such application.</w:t>
      </w:r>
    </w:p>
    <w:p>
      <w:pPr>
        <w:spacing w:after="0" w:line="68" w:lineRule="exact"/>
        <w:rPr>
          <w:sz w:val="20"/>
          <w:szCs w:val="20"/>
          <w:color w:val="auto"/>
        </w:rPr>
      </w:pPr>
    </w:p>
    <w:p>
      <w:pPr>
        <w:jc w:val="both"/>
        <w:ind w:firstLine="723"/>
        <w:spacing w:after="0" w:line="256" w:lineRule="auto"/>
        <w:rPr>
          <w:sz w:val="20"/>
          <w:szCs w:val="20"/>
          <w:color w:val="auto"/>
        </w:rPr>
      </w:pPr>
      <w:r>
        <w:rPr>
          <w:rFonts w:ascii="Times New Roman" w:cs="Times New Roman" w:eastAsia="Times New Roman" w:hAnsi="Times New Roman"/>
          <w:sz w:val="18"/>
          <w:szCs w:val="18"/>
          <w:color w:val="231F20"/>
        </w:rPr>
        <w:t>OFS Advisor will seek to allocate investment opportunities among eligible accounts in a manner that is fair and equitable over time and consistent with its allocation policy. Under this allocation policy, if OFS Advisor is actively seeking investments for two or more investment vehicles with similar or overlapping investment strategies, an available opportunity will be allocated based on the provisions governing allocations of such investment opportunities under law or in the relevant organizational, offering or similar documents, if any, for such investment vehicles. In the absence of any such provisions, OFS Advisor will consider the following factors and the weight that should be given with respect to each of these factors:</w:t>
      </w:r>
    </w:p>
    <w:p>
      <w:pPr>
        <w:spacing w:after="0" w:line="79" w:lineRule="exact"/>
        <w:rPr>
          <w:sz w:val="20"/>
          <w:szCs w:val="20"/>
          <w:color w:val="auto"/>
        </w:rPr>
      </w:pPr>
    </w:p>
    <w:p>
      <w:pPr>
        <w:ind w:left="1120" w:hanging="369"/>
        <w:spacing w:after="0" w:line="281" w:lineRule="auto"/>
        <w:tabs>
          <w:tab w:leader="none" w:pos="11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investment guidelines and/or restrictions, if any, set forth in the applicable organizational, offering or similar documents for the investment vehicles;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236220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877" w:right="719" w:bottom="1440" w:gutter="0" w:footer="0" w:header="0"/>
        </w:sectPr>
      </w:pPr>
    </w:p>
    <w:bookmarkStart w:id="21" w:name="page22"/>
    <w:bookmarkEnd w:id="21"/>
    <w:p>
      <w:pPr>
        <w:ind w:left="1120" w:hanging="369"/>
        <w:spacing w:after="0"/>
        <w:tabs>
          <w:tab w:leader="none" w:pos="11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status of tax restrictions and tests and other regulatory restrictions and tests;</w:t>
      </w:r>
    </w:p>
    <w:p>
      <w:pPr>
        <w:spacing w:after="0" w:line="63" w:lineRule="exact"/>
        <w:rPr>
          <w:rFonts w:ascii="Times New Roman" w:cs="Times New Roman" w:eastAsia="Times New Roman" w:hAnsi="Times New Roman"/>
          <w:sz w:val="18"/>
          <w:szCs w:val="18"/>
          <w:color w:val="231F20"/>
        </w:rPr>
      </w:pPr>
    </w:p>
    <w:p>
      <w:pPr>
        <w:ind w:left="1120" w:hanging="369"/>
        <w:spacing w:after="0"/>
        <w:tabs>
          <w:tab w:leader="none" w:pos="11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risk and return profile of the investment vehicles;</w:t>
      </w:r>
    </w:p>
    <w:p>
      <w:pPr>
        <w:spacing w:after="0" w:line="63" w:lineRule="exact"/>
        <w:rPr>
          <w:rFonts w:ascii="Times New Roman" w:cs="Times New Roman" w:eastAsia="Times New Roman" w:hAnsi="Times New Roman"/>
          <w:sz w:val="18"/>
          <w:szCs w:val="18"/>
          <w:color w:val="231F20"/>
        </w:rPr>
      </w:pPr>
    </w:p>
    <w:p>
      <w:pPr>
        <w:ind w:left="1120" w:hanging="369"/>
        <w:spacing w:after="0"/>
        <w:tabs>
          <w:tab w:leader="none" w:pos="11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suitability/priority of a particular investment for the investment vehicles;</w:t>
      </w:r>
    </w:p>
    <w:p>
      <w:pPr>
        <w:spacing w:after="0" w:line="63" w:lineRule="exact"/>
        <w:rPr>
          <w:rFonts w:ascii="Times New Roman" w:cs="Times New Roman" w:eastAsia="Times New Roman" w:hAnsi="Times New Roman"/>
          <w:sz w:val="18"/>
          <w:szCs w:val="18"/>
          <w:color w:val="231F20"/>
        </w:rPr>
      </w:pPr>
    </w:p>
    <w:p>
      <w:pPr>
        <w:ind w:left="1120" w:hanging="369"/>
        <w:spacing w:after="0"/>
        <w:tabs>
          <w:tab w:leader="none" w:pos="11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applicable, the targeted position size of the investment for the investment vehicles;</w:t>
      </w:r>
    </w:p>
    <w:p>
      <w:pPr>
        <w:spacing w:after="0" w:line="63" w:lineRule="exact"/>
        <w:rPr>
          <w:rFonts w:ascii="Times New Roman" w:cs="Times New Roman" w:eastAsia="Times New Roman" w:hAnsi="Times New Roman"/>
          <w:sz w:val="18"/>
          <w:szCs w:val="18"/>
          <w:color w:val="231F20"/>
        </w:rPr>
      </w:pPr>
    </w:p>
    <w:p>
      <w:pPr>
        <w:ind w:left="1120" w:hanging="369"/>
        <w:spacing w:after="0"/>
        <w:tabs>
          <w:tab w:leader="none" w:pos="11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of available cash for investment with respect to the investment vehicles;</w:t>
      </w:r>
    </w:p>
    <w:p>
      <w:pPr>
        <w:spacing w:after="0" w:line="63" w:lineRule="exact"/>
        <w:rPr>
          <w:rFonts w:ascii="Times New Roman" w:cs="Times New Roman" w:eastAsia="Times New Roman" w:hAnsi="Times New Roman"/>
          <w:sz w:val="18"/>
          <w:szCs w:val="18"/>
          <w:color w:val="231F20"/>
        </w:rPr>
      </w:pPr>
    </w:p>
    <w:p>
      <w:pPr>
        <w:ind w:left="1120" w:hanging="369"/>
        <w:spacing w:after="0"/>
        <w:tabs>
          <w:tab w:leader="none" w:pos="11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total amount of funds committed to the investment vehicles; and</w:t>
      </w:r>
    </w:p>
    <w:p>
      <w:pPr>
        <w:spacing w:after="0" w:line="63" w:lineRule="exact"/>
        <w:rPr>
          <w:rFonts w:ascii="Times New Roman" w:cs="Times New Roman" w:eastAsia="Times New Roman" w:hAnsi="Times New Roman"/>
          <w:sz w:val="18"/>
          <w:szCs w:val="18"/>
          <w:color w:val="231F20"/>
        </w:rPr>
      </w:pPr>
    </w:p>
    <w:p>
      <w:pPr>
        <w:ind w:left="1120" w:hanging="369"/>
        <w:spacing w:after="0"/>
        <w:tabs>
          <w:tab w:leader="none" w:pos="11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age of the investment vehicles and the remaining term of their respective investment periods, if any.</w:t>
      </w:r>
    </w:p>
    <w:p>
      <w:pPr>
        <w:spacing w:after="0" w:line="117" w:lineRule="exact"/>
        <w:rPr>
          <w:sz w:val="20"/>
          <w:szCs w:val="20"/>
          <w:color w:val="auto"/>
        </w:rPr>
      </w:pPr>
    </w:p>
    <w:p>
      <w:pPr>
        <w:jc w:val="both"/>
        <w:ind w:firstLine="723"/>
        <w:spacing w:after="0" w:line="261" w:lineRule="auto"/>
        <w:rPr>
          <w:sz w:val="20"/>
          <w:szCs w:val="20"/>
          <w:color w:val="auto"/>
        </w:rPr>
      </w:pPr>
      <w:r>
        <w:rPr>
          <w:rFonts w:ascii="Times New Roman" w:cs="Times New Roman" w:eastAsia="Times New Roman" w:hAnsi="Times New Roman"/>
          <w:sz w:val="18"/>
          <w:szCs w:val="18"/>
          <w:color w:val="231F20"/>
        </w:rPr>
        <w:t>When not relying on the Order, priority as to opportunities will generally be given to accounts that are in their “ramp-up” period over the accounts that are outside their ramp-up period but still within their investment or re-investment periods. However, application of one or more of the factors listed above, or other factors determined to be relevant or appropriate, may result in the allocation of an investment opportunity to a fund no longer in its ramp-up period over a fund that is still within its ramp-up period.</w:t>
      </w:r>
    </w:p>
    <w:p>
      <w:pPr>
        <w:spacing w:after="0" w:line="72" w:lineRule="exact"/>
        <w:rPr>
          <w:sz w:val="20"/>
          <w:szCs w:val="20"/>
          <w:color w:val="auto"/>
        </w:rPr>
      </w:pPr>
    </w:p>
    <w:p>
      <w:pPr>
        <w:jc w:val="both"/>
        <w:ind w:firstLine="723"/>
        <w:spacing w:after="0" w:line="261" w:lineRule="auto"/>
        <w:rPr>
          <w:sz w:val="20"/>
          <w:szCs w:val="20"/>
          <w:color w:val="auto"/>
        </w:rPr>
      </w:pPr>
      <w:r>
        <w:rPr>
          <w:rFonts w:ascii="Times New Roman" w:cs="Times New Roman" w:eastAsia="Times New Roman" w:hAnsi="Times New Roman"/>
          <w:sz w:val="18"/>
          <w:szCs w:val="18"/>
          <w:color w:val="231F20"/>
        </w:rPr>
        <w:t>In situations where co-investment with other accounts is not permitted or appropriate, OFS Advisor will need to decide which account will proceed with the investment. The decision by OFS Advisor to allocate an opportunity to another entity could cause us to forego an investment opportunity that we otherwise would have made. These restrictions, and similar restrictions that limit our ability to transact business with our officers or directors or their affiliates, may limit the scope of investment opportunities that would otherwise be available to us.</w:t>
      </w:r>
    </w:p>
    <w:p>
      <w:pPr>
        <w:spacing w:after="0" w:line="72" w:lineRule="exact"/>
        <w:rPr>
          <w:sz w:val="20"/>
          <w:szCs w:val="20"/>
          <w:color w:val="auto"/>
        </w:rPr>
      </w:pPr>
    </w:p>
    <w:p>
      <w:pPr>
        <w:jc w:val="both"/>
        <w:ind w:firstLine="723"/>
        <w:spacing w:after="0" w:line="255" w:lineRule="auto"/>
        <w:rPr>
          <w:sz w:val="20"/>
          <w:szCs w:val="20"/>
          <w:color w:val="auto"/>
        </w:rPr>
      </w:pPr>
      <w:r>
        <w:rPr>
          <w:rFonts w:ascii="Times New Roman" w:cs="Times New Roman" w:eastAsia="Times New Roman" w:hAnsi="Times New Roman"/>
          <w:sz w:val="18"/>
          <w:szCs w:val="18"/>
          <w:color w:val="231F20"/>
        </w:rPr>
        <w:t>Conflicts may arise when we make an investment in conjunction with an investment being made by another account managed by OFS Advisor or an affiliate of OFS Advisor (each, an “Affiliated Account”), or in a transaction where an Affiliated Account has already made an investment. Investment opportunities are, from time to time, appropriate for more than one account in the same, different or overlapping securities of a portfolio company’s capital structure. Conflicts arise in determining the terms of investments, particularly where these accounts may invest in different types of securities in a single portfolio company. Potential conflicts arise when addressing, among other things, questions as to whether payment obligations and covenants should be enforced, modified or waived, or whether debt should be restructured, modified or refinanced.</w:t>
      </w:r>
    </w:p>
    <w:p>
      <w:pPr>
        <w:spacing w:after="0" w:line="81" w:lineRule="exact"/>
        <w:rPr>
          <w:sz w:val="20"/>
          <w:szCs w:val="20"/>
          <w:color w:val="auto"/>
        </w:rPr>
      </w:pPr>
    </w:p>
    <w:p>
      <w:pPr>
        <w:jc w:val="both"/>
        <w:ind w:firstLine="723"/>
        <w:spacing w:after="0" w:line="254" w:lineRule="auto"/>
        <w:rPr>
          <w:sz w:val="20"/>
          <w:szCs w:val="20"/>
          <w:color w:val="auto"/>
        </w:rPr>
      </w:pPr>
      <w:r>
        <w:rPr>
          <w:rFonts w:ascii="Times New Roman" w:cs="Times New Roman" w:eastAsia="Times New Roman" w:hAnsi="Times New Roman"/>
          <w:sz w:val="18"/>
          <w:szCs w:val="18"/>
          <w:color w:val="231F20"/>
        </w:rPr>
        <w:t>We may invest in debt and other securities of companies in which Affiliated Accounts hold the same securities or different securities, including equity securities. In the event that such investments are made by us, our interests will at times conflict with the interests of such Affiliated Accounts, particularly in circumstances where the underlying company is facing financial distress. Decisions about what action should be taken, particularly in troubled situations, raise conflicts of interest, including, among other things, whether or not to enforce claims, whether or not to advocate or initiate a restructuring or liquidation inside or outside of bankruptcy, and the terms of any work-out or restructuring. The involvement of Affiliated Accounts at both the equity and debt levels could inhibit strategic information exchanges among fellow creditors, including among us or Affiliated Accounts. In certain circumstances, we or an Affiliated Account may be prohibited from exercising voting or other rights and may be subject to claims by other creditors with respect to the subordination of their interest.</w:t>
      </w:r>
    </w:p>
    <w:p>
      <w:pPr>
        <w:spacing w:after="0" w:line="84" w:lineRule="exact"/>
        <w:rPr>
          <w:sz w:val="20"/>
          <w:szCs w:val="20"/>
          <w:color w:val="auto"/>
        </w:rPr>
      </w:pPr>
    </w:p>
    <w:p>
      <w:pPr>
        <w:jc w:val="both"/>
        <w:ind w:firstLine="723"/>
        <w:spacing w:after="0" w:line="255" w:lineRule="auto"/>
        <w:rPr>
          <w:sz w:val="20"/>
          <w:szCs w:val="20"/>
          <w:color w:val="auto"/>
        </w:rPr>
      </w:pPr>
      <w:r>
        <w:rPr>
          <w:rFonts w:ascii="Times New Roman" w:cs="Times New Roman" w:eastAsia="Times New Roman" w:hAnsi="Times New Roman"/>
          <w:sz w:val="18"/>
          <w:szCs w:val="18"/>
          <w:color w:val="231F20"/>
        </w:rPr>
        <w:t>In the event that we or an Affiliated Account has a controlling or significantly influential position in a portfolio company, that account may have the ability to elect some or all of the board of directors of such a portfolio company, thereby controlling the policies and operations of such portfolio company, including the appointment of management, future issuances of securities, payment of dividends, incurrence of debt and entering into extraordinary transactions. In addition, a controlling account is likely to have the ability to determine, or influence, the outcome of operational matters and to cause, or prevent, a change in control of such a company. Such management and operational decisions may, at times, be in direct conflict with other accounts that have invested in the same portfolio company that do not have the same level of control or influence over the portfolio company.</w:t>
      </w:r>
    </w:p>
    <w:p>
      <w:pPr>
        <w:spacing w:after="0" w:line="81" w:lineRule="exact"/>
        <w:rPr>
          <w:sz w:val="20"/>
          <w:szCs w:val="20"/>
          <w:color w:val="auto"/>
        </w:rPr>
      </w:pPr>
    </w:p>
    <w:p>
      <w:pPr>
        <w:jc w:val="both"/>
        <w:ind w:firstLine="723"/>
        <w:spacing w:after="0" w:line="254" w:lineRule="auto"/>
        <w:rPr>
          <w:sz w:val="20"/>
          <w:szCs w:val="20"/>
          <w:color w:val="auto"/>
        </w:rPr>
      </w:pPr>
      <w:r>
        <w:rPr>
          <w:rFonts w:ascii="Times New Roman" w:cs="Times New Roman" w:eastAsia="Times New Roman" w:hAnsi="Times New Roman"/>
          <w:sz w:val="18"/>
          <w:szCs w:val="18"/>
          <w:color w:val="231F20"/>
        </w:rPr>
        <w:t>If additional capital is necessary as a result of financial or other difficulties, or to finance growth or other opportunities, the accounts may or may not provide such additional capital, and if provided each account will supply such additional capital in such amounts, if any, as determined by OFS Advisor. In addition, a conflict arises in allocating an investment opportunity if the potential investment target could be acquired by us, an Affiliated Account, or a portfolio company of an Affiliated Account. Investments by more than one account of OFS Advisor or its affiliates in a portfolio company also raise the risk of using assets of an account of OFS Advisor or its affiliates to support positions taken by other accounts of OFS Advisor or its affiliates, or that an account may remain passive in a situation in which it is entitled to vote. In addition, there may be differences in timing of entry into, or exit from, a portfolio company for reasons such as differences in strategy, existing portfolio or liquidity needs, different account mandates or fund differences, or different securities being held. These variations in timing may be detrimental to us.</w:t>
      </w:r>
    </w:p>
    <w:p>
      <w:pPr>
        <w:spacing w:after="0" w:line="80" w:lineRule="exact"/>
        <w:rPr>
          <w:sz w:val="20"/>
          <w:szCs w:val="20"/>
          <w:color w:val="auto"/>
        </w:rPr>
      </w:pPr>
    </w:p>
    <w:p>
      <w:pPr>
        <w:jc w:val="both"/>
        <w:ind w:firstLine="723"/>
        <w:spacing w:after="0" w:line="282" w:lineRule="auto"/>
        <w:rPr>
          <w:sz w:val="20"/>
          <w:szCs w:val="20"/>
          <w:color w:val="auto"/>
        </w:rPr>
      </w:pPr>
      <w:r>
        <w:rPr>
          <w:rFonts w:ascii="Times New Roman" w:cs="Times New Roman" w:eastAsia="Times New Roman" w:hAnsi="Times New Roman"/>
          <w:sz w:val="18"/>
          <w:szCs w:val="18"/>
          <w:color w:val="231F20"/>
        </w:rPr>
        <w:t>The application of our or an Affiliated Account's governing documents and the policies and procedures of OFS Advisor are expected to vary based on the particular facts and circumstances surrounding each investment by two or more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236220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931" w:right="71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231F20"/>
        </w:rPr>
        <w:t>accounts, in particular when those accounts are in different classes of an issuer’s capital structure (as well as across multiple issuers or borrowers within the same overall capital structure) and, as such, there may be a degree of variation and potential inconsistencies, in the manner in which potential or actual conflicts are addressed.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Code of Business Conduct</w:t>
      </w:r>
    </w:p>
    <w:p>
      <w:pPr>
        <w:spacing w:after="0" w:line="121" w:lineRule="exact"/>
        <w:rPr>
          <w:sz w:val="20"/>
          <w:szCs w:val="20"/>
          <w:color w:val="auto"/>
        </w:rPr>
      </w:pPr>
    </w:p>
    <w:p>
      <w:pPr>
        <w:jc w:val="both"/>
        <w:ind w:firstLine="723"/>
        <w:spacing w:after="0" w:line="256" w:lineRule="auto"/>
        <w:rPr>
          <w:sz w:val="20"/>
          <w:szCs w:val="20"/>
          <w:color w:val="auto"/>
        </w:rPr>
      </w:pPr>
      <w:r>
        <w:rPr>
          <w:rFonts w:ascii="Times New Roman" w:cs="Times New Roman" w:eastAsia="Times New Roman" w:hAnsi="Times New Roman"/>
          <w:sz w:val="18"/>
          <w:szCs w:val="18"/>
          <w:color w:val="231F20"/>
        </w:rPr>
        <w:t xml:space="preserve">We have adopted a Code of Business Conduct that applies to, among others, our executive officers, including our Principal Executive Officer and Principal Financial Officer, as well as every officer, director and employee of the Company. Requests </w:t>
      </w:r>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231F20"/>
        </w:rPr>
        <w:t xml:space="preserve"> copies should be sent in writing to our Chief Compliance Officer, Mukya S. Porter, at OFS Credit Company, Inc., 222 West Adams Street, Suite 1850, Chicago, Illinois 60606. The Company’s Code of Business Conduct is also available on our website at </w:t>
      </w:r>
      <w:r>
        <w:rPr>
          <w:rFonts w:ascii="Times New Roman" w:cs="Times New Roman" w:eastAsia="Times New Roman" w:hAnsi="Times New Roman"/>
          <w:sz w:val="18"/>
          <w:szCs w:val="18"/>
          <w:i w:val="1"/>
          <w:iCs w:val="1"/>
          <w:color w:val="231F20"/>
        </w:rPr>
        <w:t>www.ofscreditcompany.com.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 addition, we intend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post on our website all disclosures that are required by law or The Nasdaq Capital Market listing standards concerning any amendments to, or waivers from, any provision of the code.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Insider Trading Arrangements and Policies</w:t>
      </w:r>
    </w:p>
    <w:p>
      <w:pPr>
        <w:spacing w:after="0" w:line="119" w:lineRule="exact"/>
        <w:rPr>
          <w:sz w:val="20"/>
          <w:szCs w:val="20"/>
          <w:color w:val="auto"/>
        </w:rPr>
      </w:pPr>
    </w:p>
    <w:p>
      <w:pPr>
        <w:jc w:val="both"/>
        <w:ind w:firstLine="723"/>
        <w:spacing w:after="0" w:line="258" w:lineRule="auto"/>
        <w:rPr>
          <w:sz w:val="20"/>
          <w:szCs w:val="20"/>
          <w:color w:val="auto"/>
        </w:rPr>
      </w:pPr>
      <w:r>
        <w:rPr>
          <w:rFonts w:ascii="Times New Roman" w:cs="Times New Roman" w:eastAsia="Times New Roman" w:hAnsi="Times New Roman"/>
          <w:sz w:val="18"/>
          <w:szCs w:val="18"/>
          <w:color w:val="231F20"/>
        </w:rPr>
        <w:t xml:space="preserve">We have adopted an Insider Trading Policy and Procedures governing, among other things, the purchase, sale, donation or </w:t>
      </w:r>
      <w:r>
        <w:rPr>
          <w:rFonts w:ascii="Times New Roman" w:cs="Times New Roman" w:eastAsia="Times New Roman" w:hAnsi="Times New Roman"/>
          <w:sz w:val="18"/>
          <w:szCs w:val="18"/>
          <w:i w:val="1"/>
          <w:iCs w:val="1"/>
          <w:color w:val="231F20"/>
        </w:rPr>
        <w:t>bona fide</w:t>
      </w:r>
      <w:r>
        <w:rPr>
          <w:rFonts w:ascii="Times New Roman" w:cs="Times New Roman" w:eastAsia="Times New Roman" w:hAnsi="Times New Roman"/>
          <w:sz w:val="18"/>
          <w:szCs w:val="18"/>
          <w:color w:val="231F20"/>
        </w:rPr>
        <w:t xml:space="preserve"> gift of Company securities by employees of </w:t>
      </w:r>
      <w:r>
        <w:rPr>
          <w:rFonts w:ascii="Times New Roman" w:cs="Times New Roman" w:eastAsia="Times New Roman" w:hAnsi="Times New Roman"/>
          <w:sz w:val="18"/>
          <w:szCs w:val="18"/>
          <w:color w:val="000000"/>
        </w:rPr>
        <w:t>OFSC and</w:t>
      </w:r>
      <w:r>
        <w:rPr>
          <w:rFonts w:ascii="Times New Roman" w:cs="Times New Roman" w:eastAsia="Times New Roman" w:hAnsi="Times New Roman"/>
          <w:sz w:val="18"/>
          <w:szCs w:val="18"/>
          <w:color w:val="231F20"/>
        </w:rPr>
        <w:t xml:space="preserve"> OFS CLO Management, LLC and their affiliates, our officers and directors (collectively, “Access Persons”) and certain family members of Access Persons, that we believe is reasonably designed to promote compliance with insider trading laws, rules and regulations, and The Nasdaq Capital Market listing standards. A copy of our Insider Trading Policy and Procedures was filed with the SEC on June 11, 2024 as an exhibit to our Semi-Annual Report on Form N-CSR for the six-month period ended April 30,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Hedging Transactions</w:t>
      </w:r>
    </w:p>
    <w:p>
      <w:pPr>
        <w:spacing w:after="0" w:line="121" w:lineRule="exact"/>
        <w:rPr>
          <w:sz w:val="20"/>
          <w:szCs w:val="20"/>
          <w:color w:val="auto"/>
        </w:rPr>
      </w:pPr>
    </w:p>
    <w:p>
      <w:pPr>
        <w:jc w:val="both"/>
        <w:ind w:firstLine="723"/>
        <w:spacing w:after="0" w:line="256" w:lineRule="auto"/>
        <w:rPr>
          <w:sz w:val="20"/>
          <w:szCs w:val="20"/>
          <w:color w:val="auto"/>
        </w:rPr>
      </w:pPr>
      <w:r>
        <w:rPr>
          <w:rFonts w:ascii="Times New Roman" w:cs="Times New Roman" w:eastAsia="Times New Roman" w:hAnsi="Times New Roman"/>
          <w:sz w:val="18"/>
          <w:szCs w:val="18"/>
          <w:color w:val="231F20"/>
        </w:rPr>
        <w:t>Our Code of Ethics does not expressly prohibit our directors and executive officers or directors, officers or employees of OFS Advisor and its affiliates from purchasing financial instruments (including prepaid variable forward contracts, options, equity swaps, collars, and exchange funds), or otherwise engaging in transactions, that hedge or offset, or are designed to hedge or offset, any decrease in the market value of our Common Stock. However, our Code of Ethics requires that our directors and officers or directors, officers or employees of OFS Advisor and its affiliates receive clearance for transactions in any derivative securities with respect to our Common Stock from our Chief Compliance Officer.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Review, Approval or Ratification of Transactions with Related Persons</w:t>
      </w:r>
    </w:p>
    <w:p>
      <w:pPr>
        <w:spacing w:after="0" w:line="121" w:lineRule="exact"/>
        <w:rPr>
          <w:sz w:val="20"/>
          <w:szCs w:val="20"/>
          <w:color w:val="auto"/>
        </w:rPr>
      </w:pPr>
    </w:p>
    <w:p>
      <w:pPr>
        <w:jc w:val="both"/>
        <w:ind w:firstLine="723"/>
        <w:spacing w:after="0" w:line="282" w:lineRule="auto"/>
        <w:rPr>
          <w:sz w:val="20"/>
          <w:szCs w:val="20"/>
          <w:color w:val="auto"/>
        </w:rPr>
      </w:pPr>
      <w:r>
        <w:rPr>
          <w:rFonts w:ascii="Times New Roman" w:cs="Times New Roman" w:eastAsia="Times New Roman" w:hAnsi="Times New Roman"/>
          <w:sz w:val="18"/>
          <w:szCs w:val="18"/>
          <w:color w:val="231F20"/>
        </w:rPr>
        <w:t>The audit committee of our board of directors is required to review and approve any transactions with related persons (as such term is defined in Item 404 of Regulation S-K).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Corporate Governance Documents</w:t>
      </w:r>
    </w:p>
    <w:p>
      <w:pPr>
        <w:spacing w:after="0" w:line="121" w:lineRule="exact"/>
        <w:rPr>
          <w:sz w:val="20"/>
          <w:szCs w:val="20"/>
          <w:color w:val="auto"/>
        </w:rPr>
      </w:pPr>
    </w:p>
    <w:p>
      <w:pPr>
        <w:jc w:val="both"/>
        <w:ind w:firstLine="723"/>
        <w:spacing w:after="0" w:line="282" w:lineRule="auto"/>
        <w:rPr>
          <w:sz w:val="20"/>
          <w:szCs w:val="20"/>
          <w:color w:val="auto"/>
        </w:rPr>
      </w:pPr>
      <w:r>
        <w:rPr>
          <w:rFonts w:ascii="Times New Roman" w:cs="Times New Roman" w:eastAsia="Times New Roman" w:hAnsi="Times New Roman"/>
          <w:sz w:val="18"/>
          <w:szCs w:val="18"/>
          <w:color w:val="231F20"/>
        </w:rPr>
        <w:t xml:space="preserve">We maintain a corporate governance webpage at the “Corporate Governance” link under the “For Investors” link at </w:t>
      </w:r>
      <w:r>
        <w:rPr>
          <w:rFonts w:ascii="Times New Roman" w:cs="Times New Roman" w:eastAsia="Times New Roman" w:hAnsi="Times New Roman"/>
          <w:sz w:val="18"/>
          <w:szCs w:val="18"/>
          <w:i w:val="1"/>
          <w:iCs w:val="1"/>
          <w:color w:val="231F20"/>
        </w:rPr>
        <w:t>www.ofscreditcompany.com</w:t>
      </w:r>
      <w:r>
        <w:rPr>
          <w:rFonts w:ascii="Times New Roman" w:cs="Times New Roman" w:eastAsia="Times New Roman" w:hAnsi="Times New Roman"/>
          <w:sz w:val="18"/>
          <w:szCs w:val="18"/>
          <w:color w:val="231F20"/>
        </w:rPr>
        <w:t>.</w:t>
      </w:r>
    </w:p>
    <w:p>
      <w:pPr>
        <w:spacing w:after="0" w:line="54" w:lineRule="exact"/>
        <w:rPr>
          <w:sz w:val="20"/>
          <w:szCs w:val="20"/>
          <w:color w:val="auto"/>
        </w:rPr>
      </w:pPr>
    </w:p>
    <w:p>
      <w:pPr>
        <w:jc w:val="both"/>
        <w:ind w:firstLine="723"/>
        <w:spacing w:after="0" w:line="26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color w:val="231F20"/>
        </w:rPr>
        <w:t>Code of Business Conduct and board committee charters are available at our corporate governance webpage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31F20"/>
        </w:rPr>
        <w:t xml:space="preserve">www.ofscreditcompany.com </w:t>
      </w:r>
      <w:r>
        <w:rPr>
          <w:rFonts w:ascii="Times New Roman" w:cs="Times New Roman" w:eastAsia="Times New Roman" w:hAnsi="Times New Roman"/>
          <w:sz w:val="18"/>
          <w:szCs w:val="18"/>
          <w:color w:val="231F20"/>
        </w:rPr>
        <w:t>and are also available to any stockholder who requests them by writing to</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OFS Credit Company, Inc.,</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222 West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Adams Street, Suite 1850, Chicago, Illinois 60606</w:t>
      </w:r>
      <w:r>
        <w:rPr>
          <w:rFonts w:ascii="Times New Roman" w:cs="Times New Roman" w:eastAsia="Times New Roman" w:hAnsi="Times New Roman"/>
          <w:sz w:val="18"/>
          <w:szCs w:val="18"/>
          <w:color w:val="000000"/>
        </w:rPr>
        <w:t>, attention: Tod K. Reichert, Corporate Secretary.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Annual Evaluation</w:t>
      </w:r>
    </w:p>
    <w:p>
      <w:pPr>
        <w:spacing w:after="0" w:line="121" w:lineRule="exact"/>
        <w:rPr>
          <w:sz w:val="20"/>
          <w:szCs w:val="20"/>
          <w:color w:val="auto"/>
        </w:rPr>
      </w:pPr>
    </w:p>
    <w:p>
      <w:pPr>
        <w:jc w:val="both"/>
        <w:ind w:firstLine="723"/>
        <w:spacing w:after="0" w:line="282"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color w:val="231F20"/>
        </w:rPr>
        <w:t>directors perform an evaluation, at least annually, of the effectiveness of the board and its committees. As part of the process, 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director participates in an interview to provide feedback and perspective on various topics, including among other things:</w:t>
      </w:r>
    </w:p>
    <w:p>
      <w:pPr>
        <w:spacing w:after="0" w:line="54" w:lineRule="exact"/>
        <w:rPr>
          <w:sz w:val="20"/>
          <w:szCs w:val="20"/>
          <w:color w:val="auto"/>
        </w:rPr>
      </w:pPr>
    </w:p>
    <w:p>
      <w:pPr>
        <w:ind w:left="1120" w:hanging="369"/>
        <w:spacing w:after="0"/>
        <w:tabs>
          <w:tab w:leader="none" w:pos="11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board structure, size and composition, including director skills and experience;</w:t>
      </w:r>
    </w:p>
    <w:p>
      <w:pPr>
        <w:spacing w:after="0" w:line="63" w:lineRule="exact"/>
        <w:rPr>
          <w:rFonts w:ascii="Times New Roman" w:cs="Times New Roman" w:eastAsia="Times New Roman" w:hAnsi="Times New Roman"/>
          <w:sz w:val="18"/>
          <w:szCs w:val="18"/>
          <w:color w:val="231F20"/>
        </w:rPr>
      </w:pPr>
    </w:p>
    <w:p>
      <w:pPr>
        <w:ind w:left="1120" w:hanging="369"/>
        <w:spacing w:after="0"/>
        <w:tabs>
          <w:tab w:leader="none" w:pos="11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committee structure and allocation of responsibilities;</w:t>
      </w:r>
    </w:p>
    <w:p>
      <w:pPr>
        <w:spacing w:after="0" w:line="63" w:lineRule="exact"/>
        <w:rPr>
          <w:rFonts w:ascii="Times New Roman" w:cs="Times New Roman" w:eastAsia="Times New Roman" w:hAnsi="Times New Roman"/>
          <w:sz w:val="18"/>
          <w:szCs w:val="18"/>
          <w:color w:val="231F20"/>
        </w:rPr>
      </w:pPr>
    </w:p>
    <w:p>
      <w:pPr>
        <w:ind w:left="1120" w:hanging="369"/>
        <w:spacing w:after="0"/>
        <w:tabs>
          <w:tab w:leader="none" w:pos="11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conduct of meetings, including cadence, length and opportunity for director input and meaningful discussion;</w:t>
      </w:r>
    </w:p>
    <w:p>
      <w:pPr>
        <w:spacing w:after="0" w:line="63" w:lineRule="exact"/>
        <w:rPr>
          <w:rFonts w:ascii="Times New Roman" w:cs="Times New Roman" w:eastAsia="Times New Roman" w:hAnsi="Times New Roman"/>
          <w:sz w:val="18"/>
          <w:szCs w:val="18"/>
          <w:color w:val="231F20"/>
        </w:rPr>
      </w:pPr>
    </w:p>
    <w:p>
      <w:pPr>
        <w:ind w:left="1120" w:hanging="369"/>
        <w:spacing w:after="0"/>
        <w:tabs>
          <w:tab w:leader="none" w:pos="11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materials and information, including quality, timeliness and relevance;</w:t>
      </w:r>
    </w:p>
    <w:p>
      <w:pPr>
        <w:spacing w:after="0" w:line="63" w:lineRule="exact"/>
        <w:rPr>
          <w:rFonts w:ascii="Times New Roman" w:cs="Times New Roman" w:eastAsia="Times New Roman" w:hAnsi="Times New Roman"/>
          <w:sz w:val="18"/>
          <w:szCs w:val="18"/>
          <w:color w:val="231F20"/>
        </w:rPr>
      </w:pPr>
    </w:p>
    <w:p>
      <w:pPr>
        <w:ind w:left="1120" w:hanging="369"/>
        <w:spacing w:after="0"/>
        <w:tabs>
          <w:tab w:leader="none" w:pos="11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director orientation and continuing education;</w:t>
      </w:r>
    </w:p>
    <w:p>
      <w:pPr>
        <w:spacing w:after="0" w:line="63" w:lineRule="exact"/>
        <w:rPr>
          <w:rFonts w:ascii="Times New Roman" w:cs="Times New Roman" w:eastAsia="Times New Roman" w:hAnsi="Times New Roman"/>
          <w:sz w:val="18"/>
          <w:szCs w:val="18"/>
          <w:color w:val="231F20"/>
        </w:rPr>
      </w:pPr>
    </w:p>
    <w:p>
      <w:pPr>
        <w:ind w:left="1120" w:hanging="369"/>
        <w:spacing w:after="0"/>
        <w:tabs>
          <w:tab w:leader="none" w:pos="11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director performance, including attendance, preparation and participation;</w:t>
      </w:r>
    </w:p>
    <w:p>
      <w:pPr>
        <w:spacing w:after="0" w:line="63" w:lineRule="exact"/>
        <w:rPr>
          <w:rFonts w:ascii="Times New Roman" w:cs="Times New Roman" w:eastAsia="Times New Roman" w:hAnsi="Times New Roman"/>
          <w:sz w:val="18"/>
          <w:szCs w:val="18"/>
          <w:color w:val="231F20"/>
        </w:rPr>
      </w:pPr>
    </w:p>
    <w:p>
      <w:pPr>
        <w:ind w:left="1120" w:hanging="369"/>
        <w:spacing w:after="0"/>
        <w:tabs>
          <w:tab w:leader="none" w:pos="11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access to management and internal and external experts, resources, and support;</w:t>
      </w:r>
    </w:p>
    <w:p>
      <w:pPr>
        <w:spacing w:after="0" w:line="63" w:lineRule="exact"/>
        <w:rPr>
          <w:rFonts w:ascii="Times New Roman" w:cs="Times New Roman" w:eastAsia="Times New Roman" w:hAnsi="Times New Roman"/>
          <w:sz w:val="18"/>
          <w:szCs w:val="18"/>
          <w:color w:val="231F20"/>
        </w:rPr>
      </w:pPr>
    </w:p>
    <w:p>
      <w:pPr>
        <w:ind w:left="1120" w:hanging="369"/>
        <w:spacing w:after="0"/>
        <w:tabs>
          <w:tab w:leader="none" w:pos="11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key areas of focus for the board, including strategy, sustainability, crisis management and shareholder engagement;</w:t>
      </w:r>
    </w:p>
    <w:p>
      <w:pPr>
        <w:spacing w:after="0" w:line="63" w:lineRule="exact"/>
        <w:rPr>
          <w:rFonts w:ascii="Times New Roman" w:cs="Times New Roman" w:eastAsia="Times New Roman" w:hAnsi="Times New Roman"/>
          <w:sz w:val="18"/>
          <w:szCs w:val="18"/>
          <w:color w:val="231F20"/>
        </w:rPr>
      </w:pPr>
    </w:p>
    <w:p>
      <w:pPr>
        <w:ind w:left="5100"/>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236220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877" w:right="719" w:bottom="1440" w:gutter="0" w:footer="0" w:header="0"/>
        </w:sectPr>
      </w:pPr>
    </w:p>
    <w:bookmarkStart w:id="23" w:name="page24"/>
    <w:bookmarkEnd w:id="23"/>
    <w:p>
      <w:pPr>
        <w:ind w:left="1500" w:hanging="369"/>
        <w:spacing w:after="0"/>
        <w:tabs>
          <w:tab w:leader="none" w:pos="150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committee structure and process, member and chair performance, duties and functions and management support; and</w:t>
      </w:r>
    </w:p>
    <w:p>
      <w:pPr>
        <w:spacing w:after="0" w:line="63" w:lineRule="exact"/>
        <w:rPr>
          <w:rFonts w:ascii="Times New Roman" w:cs="Times New Roman" w:eastAsia="Times New Roman" w:hAnsi="Times New Roman"/>
          <w:sz w:val="18"/>
          <w:szCs w:val="18"/>
          <w:color w:val="231F20"/>
        </w:rPr>
      </w:pPr>
    </w:p>
    <w:p>
      <w:pPr>
        <w:ind w:left="1500" w:hanging="369"/>
        <w:spacing w:after="0" w:line="282" w:lineRule="auto"/>
        <w:tabs>
          <w:tab w:leader="none" w:pos="150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performance of the board chair, including communication, relationship with management, availability, focus on appropriate issues and inclusiveness.</w:t>
      </w:r>
    </w:p>
    <w:p>
      <w:pPr>
        <w:spacing w:after="0" w:line="54" w:lineRule="exact"/>
        <w:rPr>
          <w:sz w:val="20"/>
          <w:szCs w:val="20"/>
          <w:color w:val="auto"/>
        </w:rPr>
      </w:pPr>
    </w:p>
    <w:p>
      <w:pPr>
        <w:jc w:val="both"/>
        <w:ind w:left="380" w:firstLine="723"/>
        <w:spacing w:after="0" w:line="282" w:lineRule="auto"/>
        <w:rPr>
          <w:sz w:val="20"/>
          <w:szCs w:val="20"/>
          <w:color w:val="auto"/>
        </w:rPr>
      </w:pPr>
      <w:r>
        <w:rPr>
          <w:rFonts w:ascii="Times New Roman" w:cs="Times New Roman" w:eastAsia="Times New Roman" w:hAnsi="Times New Roman"/>
          <w:sz w:val="18"/>
          <w:szCs w:val="18"/>
          <w:color w:val="auto"/>
        </w:rPr>
        <w:t>While results are aggregated and summarized for discussion purposes, individual responses are not attributed to any individual and are kept confidential to ensure honest and candid feedback is received.</w:t>
      </w:r>
    </w:p>
    <w:p>
      <w:pPr>
        <w:spacing w:after="0" w:line="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Compensation of Officers</w:t>
      </w:r>
    </w:p>
    <w:p>
      <w:pPr>
        <w:spacing w:after="0" w:line="121" w:lineRule="exact"/>
        <w:rPr>
          <w:sz w:val="20"/>
          <w:szCs w:val="20"/>
          <w:color w:val="auto"/>
        </w:rPr>
      </w:pPr>
    </w:p>
    <w:p>
      <w:pPr>
        <w:jc w:val="both"/>
        <w:ind w:left="380" w:firstLine="723"/>
        <w:spacing w:after="0" w:line="258" w:lineRule="auto"/>
        <w:rPr>
          <w:sz w:val="20"/>
          <w:szCs w:val="20"/>
          <w:color w:val="auto"/>
        </w:rPr>
      </w:pPr>
      <w:r>
        <w:rPr>
          <w:rFonts w:ascii="Times New Roman" w:cs="Times New Roman" w:eastAsia="Times New Roman" w:hAnsi="Times New Roman"/>
          <w:sz w:val="18"/>
          <w:szCs w:val="18"/>
          <w:color w:val="auto"/>
        </w:rPr>
        <w:t xml:space="preserve">None </w:t>
      </w:r>
      <w:r>
        <w:rPr>
          <w:rFonts w:ascii="Times New Roman" w:cs="Times New Roman" w:eastAsia="Times New Roman" w:hAnsi="Times New Roman"/>
          <w:sz w:val="18"/>
          <w:szCs w:val="18"/>
          <w:color w:val="231F20"/>
        </w:rPr>
        <w:t>of our officers receive direct compensation from us. Mr. Rashid, our President and Chief Executive Officer, Mr. Spina, our Chief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Financial Officer, Ms. Porter, our Chief Compliance Officer and Mr. Reichert, our Corporate Secretary, are paid by OFSC, subject to reimbursement by us, pursuant to the Administration Agreement, for an allocable portion of such compensation for services rendered by such persons to us. To the extent that OFS Services outsources any of its functions under the Administration Agreement to OFSC under the Staffing Agreement, we will pay the fees associated with such functions on a direct basis without profit to OFS Services.</w:t>
      </w:r>
    </w:p>
    <w:p>
      <w:pPr>
        <w:spacing w:after="0" w:line="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Our Officers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of our current officers as of June 30, 2026:</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60" w:type="dxa"/>
            <w:vAlign w:val="bottom"/>
            <w:tcBorders>
              <w:bottom w:val="single" w:sz="8" w:color="auto"/>
            </w:tcBorders>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rPr>
              <w:t>Age</w:t>
            </w:r>
          </w:p>
        </w:tc>
        <w:tc>
          <w:tcPr>
            <w:tcW w:w="32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32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Held Position Since</w:t>
            </w:r>
          </w:p>
        </w:tc>
      </w:tr>
      <w:tr>
        <w:trPr>
          <w:trHeight w:val="239"/>
        </w:trPr>
        <w:tc>
          <w:tcPr>
            <w:tcW w:w="25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Bilal Rashid</w:t>
            </w:r>
          </w:p>
        </w:tc>
        <w:tc>
          <w:tcPr>
            <w:tcW w:w="1660" w:type="dxa"/>
            <w:vAlign w:val="bottom"/>
            <w:shd w:val="clear" w:color="auto" w:fill="CCECFF"/>
          </w:tcPr>
          <w:p>
            <w:pPr>
              <w:jc w:val="center"/>
              <w:ind w:left="819"/>
              <w:spacing w:after="0"/>
              <w:rPr>
                <w:sz w:val="20"/>
                <w:szCs w:val="20"/>
                <w:color w:val="auto"/>
              </w:rPr>
            </w:pPr>
            <w:r>
              <w:rPr>
                <w:rFonts w:ascii="Times New Roman" w:cs="Times New Roman" w:eastAsia="Times New Roman" w:hAnsi="Times New Roman"/>
                <w:sz w:val="16"/>
                <w:szCs w:val="16"/>
                <w:color w:val="auto"/>
                <w:w w:val="99"/>
              </w:rPr>
              <w:t>55</w:t>
            </w:r>
          </w:p>
        </w:tc>
        <w:tc>
          <w:tcPr>
            <w:tcW w:w="32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Chairman, President and Chief Executive</w:t>
            </w:r>
          </w:p>
        </w:tc>
        <w:tc>
          <w:tcPr>
            <w:tcW w:w="326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6"/>
                <w:szCs w:val="16"/>
                <w:color w:val="auto"/>
              </w:rPr>
              <w:t>2017</w:t>
            </w:r>
          </w:p>
        </w:tc>
      </w:tr>
      <w:tr>
        <w:trPr>
          <w:trHeight w:val="216"/>
        </w:trPr>
        <w:tc>
          <w:tcPr>
            <w:tcW w:w="2500" w:type="dxa"/>
            <w:vAlign w:val="bottom"/>
            <w:shd w:val="clear" w:color="auto" w:fill="CCECFF"/>
          </w:tcPr>
          <w:p>
            <w:pPr>
              <w:spacing w:after="0"/>
              <w:rPr>
                <w:sz w:val="18"/>
                <w:szCs w:val="18"/>
                <w:color w:val="auto"/>
              </w:rPr>
            </w:pPr>
          </w:p>
        </w:tc>
        <w:tc>
          <w:tcPr>
            <w:tcW w:w="1660" w:type="dxa"/>
            <w:vAlign w:val="bottom"/>
            <w:shd w:val="clear" w:color="auto" w:fill="CCECFF"/>
          </w:tcPr>
          <w:p>
            <w:pPr>
              <w:spacing w:after="0"/>
              <w:rPr>
                <w:sz w:val="18"/>
                <w:szCs w:val="18"/>
                <w:color w:val="auto"/>
              </w:rPr>
            </w:pPr>
          </w:p>
        </w:tc>
        <w:tc>
          <w:tcPr>
            <w:tcW w:w="32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Officer</w:t>
            </w:r>
          </w:p>
        </w:tc>
        <w:tc>
          <w:tcPr>
            <w:tcW w:w="3260" w:type="dxa"/>
            <w:vAlign w:val="bottom"/>
            <w:shd w:val="clear" w:color="auto" w:fill="CCECFF"/>
          </w:tcPr>
          <w:p>
            <w:pPr>
              <w:spacing w:after="0"/>
              <w:rPr>
                <w:sz w:val="18"/>
                <w:szCs w:val="18"/>
                <w:color w:val="auto"/>
              </w:rPr>
            </w:pPr>
          </w:p>
        </w:tc>
      </w:tr>
      <w:tr>
        <w:trPr>
          <w:trHeight w:val="251"/>
        </w:trPr>
        <w:tc>
          <w:tcPr>
            <w:tcW w:w="2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Kyle Spina(1)</w:t>
            </w:r>
          </w:p>
        </w:tc>
        <w:tc>
          <w:tcPr>
            <w:tcW w:w="166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w w:val="99"/>
              </w:rPr>
              <w:t>39</w:t>
            </w:r>
          </w:p>
        </w:tc>
        <w:tc>
          <w:tcPr>
            <w:tcW w:w="3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Chief Financial Officer and Treasurer</w:t>
            </w:r>
          </w:p>
        </w:tc>
        <w:tc>
          <w:tcPr>
            <w:tcW w:w="3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2025</w:t>
            </w:r>
          </w:p>
        </w:tc>
      </w:tr>
      <w:tr>
        <w:trPr>
          <w:trHeight w:val="114"/>
        </w:trPr>
        <w:tc>
          <w:tcPr>
            <w:tcW w:w="25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260" w:type="dxa"/>
            <w:vAlign w:val="bottom"/>
          </w:tcPr>
          <w:p>
            <w:pPr>
              <w:spacing w:after="0"/>
              <w:rPr>
                <w:sz w:val="9"/>
                <w:szCs w:val="9"/>
                <w:color w:val="auto"/>
              </w:rPr>
            </w:pPr>
          </w:p>
        </w:tc>
        <w:tc>
          <w:tcPr>
            <w:tcW w:w="3260" w:type="dxa"/>
            <w:vAlign w:val="bottom"/>
          </w:tcPr>
          <w:p>
            <w:pPr>
              <w:spacing w:after="0"/>
              <w:rPr>
                <w:sz w:val="9"/>
                <w:szCs w:val="9"/>
                <w:color w:val="auto"/>
              </w:rPr>
            </w:pPr>
          </w:p>
        </w:tc>
      </w:tr>
      <w:tr>
        <w:trPr>
          <w:trHeight w:val="251"/>
        </w:trPr>
        <w:tc>
          <w:tcPr>
            <w:tcW w:w="25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6"/>
                <w:szCs w:val="16"/>
                <w:color w:val="auto"/>
              </w:rPr>
              <w:t>Mukya S. Porter(2)</w:t>
            </w:r>
          </w:p>
        </w:tc>
        <w:tc>
          <w:tcPr>
            <w:tcW w:w="1660" w:type="dxa"/>
            <w:vAlign w:val="bottom"/>
            <w:shd w:val="clear" w:color="auto" w:fill="CCECFF"/>
          </w:tcPr>
          <w:p>
            <w:pPr>
              <w:jc w:val="center"/>
              <w:ind w:left="819"/>
              <w:spacing w:after="0"/>
              <w:rPr>
                <w:sz w:val="20"/>
                <w:szCs w:val="20"/>
                <w:color w:val="auto"/>
              </w:rPr>
            </w:pPr>
            <w:r>
              <w:rPr>
                <w:rFonts w:ascii="Times New Roman" w:cs="Times New Roman" w:eastAsia="Times New Roman" w:hAnsi="Times New Roman"/>
                <w:sz w:val="16"/>
                <w:szCs w:val="16"/>
                <w:color w:val="auto"/>
                <w:w w:val="99"/>
              </w:rPr>
              <w:t>51</w:t>
            </w:r>
          </w:p>
        </w:tc>
        <w:tc>
          <w:tcPr>
            <w:tcW w:w="32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Chief Compliance Officer</w:t>
            </w:r>
          </w:p>
        </w:tc>
        <w:tc>
          <w:tcPr>
            <w:tcW w:w="326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6"/>
                <w:szCs w:val="16"/>
                <w:color w:val="auto"/>
              </w:rPr>
              <w:t>2017</w:t>
            </w:r>
          </w:p>
        </w:tc>
      </w:tr>
      <w:tr>
        <w:trPr>
          <w:trHeight w:val="141"/>
        </w:trPr>
        <w:tc>
          <w:tcPr>
            <w:tcW w:w="2500" w:type="dxa"/>
            <w:vAlign w:val="bottom"/>
            <w:shd w:val="clear" w:color="auto" w:fill="CCECFF"/>
          </w:tcPr>
          <w:p>
            <w:pPr>
              <w:spacing w:after="0"/>
              <w:rPr>
                <w:sz w:val="12"/>
                <w:szCs w:val="12"/>
                <w:color w:val="auto"/>
              </w:rPr>
            </w:pPr>
          </w:p>
        </w:tc>
        <w:tc>
          <w:tcPr>
            <w:tcW w:w="1660" w:type="dxa"/>
            <w:vAlign w:val="bottom"/>
            <w:shd w:val="clear" w:color="auto" w:fill="CCECFF"/>
          </w:tcPr>
          <w:p>
            <w:pPr>
              <w:spacing w:after="0"/>
              <w:rPr>
                <w:sz w:val="12"/>
                <w:szCs w:val="12"/>
                <w:color w:val="auto"/>
              </w:rPr>
            </w:pPr>
          </w:p>
        </w:tc>
        <w:tc>
          <w:tcPr>
            <w:tcW w:w="3260" w:type="dxa"/>
            <w:vAlign w:val="bottom"/>
            <w:shd w:val="clear" w:color="auto" w:fill="CCECFF"/>
          </w:tcPr>
          <w:p>
            <w:pPr>
              <w:spacing w:after="0"/>
              <w:rPr>
                <w:sz w:val="12"/>
                <w:szCs w:val="12"/>
                <w:color w:val="auto"/>
              </w:rPr>
            </w:pPr>
          </w:p>
        </w:tc>
        <w:tc>
          <w:tcPr>
            <w:tcW w:w="3260" w:type="dxa"/>
            <w:vAlign w:val="bottom"/>
            <w:shd w:val="clear" w:color="auto" w:fill="CCECFF"/>
          </w:tcPr>
          <w:p>
            <w:pPr>
              <w:spacing w:after="0"/>
              <w:rPr>
                <w:sz w:val="12"/>
                <w:szCs w:val="12"/>
                <w:color w:val="auto"/>
              </w:rPr>
            </w:pPr>
          </w:p>
        </w:tc>
      </w:tr>
      <w:tr>
        <w:trPr>
          <w:trHeight w:val="251"/>
        </w:trPr>
        <w:tc>
          <w:tcPr>
            <w:tcW w:w="2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Tod K. Reichert(3)</w:t>
            </w:r>
          </w:p>
        </w:tc>
        <w:tc>
          <w:tcPr>
            <w:tcW w:w="166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w w:val="99"/>
              </w:rPr>
              <w:t>64</w:t>
            </w:r>
          </w:p>
        </w:tc>
        <w:tc>
          <w:tcPr>
            <w:tcW w:w="3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Corporate Secretary</w:t>
            </w:r>
          </w:p>
        </w:tc>
        <w:tc>
          <w:tcPr>
            <w:tcW w:w="3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274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93" w:lineRule="exact"/>
        <w:rPr>
          <w:sz w:val="20"/>
          <w:szCs w:val="20"/>
          <w:color w:val="auto"/>
        </w:rPr>
      </w:pPr>
    </w:p>
    <w:p>
      <w:pPr>
        <w:ind w:left="380" w:hanging="359"/>
        <w:spacing w:after="0" w:line="230" w:lineRule="auto"/>
        <w:tabs>
          <w:tab w:leader="none" w:pos="30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Kyle Spina </w:t>
      </w:r>
      <w:r>
        <w:rPr>
          <w:rFonts w:ascii="Times New Roman" w:cs="Times New Roman" w:eastAsia="Times New Roman" w:hAnsi="Times New Roman"/>
          <w:sz w:val="14"/>
          <w:szCs w:val="14"/>
          <w:color w:val="auto"/>
        </w:rPr>
        <w:t>currently serves as our Chief Financial Officer and Treasurer. Mr. Spina also serves as Chief Financial Officer and Treasurer of OFS Capital, Hancock Park and OFSC.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Mr. Spina also serves as Director, Chief Financial Officer of OFS Advisor, and Vice President and Chief Financial Officer of OFSAM and OFSAM Holdings. Mr. Spina previously served as the Chief Accounting Officer of the Company from 2023 to 2025. Mr. Spina has more than 15 years of experience in public and private accounting. Prior to joining OFSC in April 2021, Mr. Spina held multiple controllership roles, serving as Assistant Controller of Credit Funds for Thoma Bravo, LP from 2020 to 2021 and Controller and Accounting Manager for Fidus Investment Corporation (Nasdaq: FDUS) and affiliates from 2016 to 2020. Mr. Spina began his career in public accounting from 2009 to 2016, including serving as an Audit Manager at BDO from 2014 to 2016, focusing on audits of public companies. Mr. Spina graduated from Purdue University with a Bachelor of Science degree in Accounting and Management and has been an active Certified Public Accountant since 2010.</w:t>
      </w:r>
    </w:p>
    <w:p>
      <w:pPr>
        <w:spacing w:after="0" w:line="1" w:lineRule="exact"/>
        <w:rPr>
          <w:rFonts w:ascii="Times New Roman" w:cs="Times New Roman" w:eastAsia="Times New Roman" w:hAnsi="Times New Roman"/>
          <w:sz w:val="14"/>
          <w:szCs w:val="14"/>
          <w:color w:val="auto"/>
        </w:rPr>
      </w:pPr>
    </w:p>
    <w:p>
      <w:pPr>
        <w:ind w:left="380" w:hanging="359"/>
        <w:spacing w:after="0"/>
        <w:tabs>
          <w:tab w:leader="none" w:pos="30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Mukya S. Porter </w:t>
      </w:r>
      <w:r>
        <w:rPr>
          <w:rFonts w:ascii="Times New Roman" w:cs="Times New Roman" w:eastAsia="Times New Roman" w:hAnsi="Times New Roman"/>
          <w:sz w:val="14"/>
          <w:szCs w:val="14"/>
          <w:color w:val="auto"/>
        </w:rPr>
        <w:t>currently serves as the Chief Compliance Officer of OFS Credit, Hancock Park, OFS Capital, OFSC, OFSAM Holdings and OFS Advisor, in which capacity she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oversees the compliance and risk management functions. Ms. Porter has approximately 20 years of experience advising investment advisers, broker-dealers and other financial institutions. Prior to joining OFSC, Ms. Porter served as a Senior Vice President of Compliance at Oaktree Capital Management, an alternative investment adviser, from 2012 to 2016, where she was responsible for oversight of the firm’s code of ethics program and the day-to-day management of an affiliated limited-purpose broker-dealer. Prior to Oaktree, Ms. Porter held the position of Vice President and Senior Compliance Officer at Pacific Investment Management Company from 2010 to 2012 and prior to that, from 2004 to 2010, worked, first, as a Vice President in the Legal department at Morgan Stanley Global Wealth Management and, subsequently, as a Vice President of Compliance at Morgan Stanley Investment Management. Ms. Porter received a Bachelor of Science degree, magna cum laude, in Biology from Howard University in 1996 and a J.D. from the University of California, Berkeley School of Law in 2001.</w:t>
      </w:r>
    </w:p>
    <w:p>
      <w:pPr>
        <w:spacing w:after="0" w:line="113" w:lineRule="exact"/>
        <w:rPr>
          <w:rFonts w:ascii="Times New Roman" w:cs="Times New Roman" w:eastAsia="Times New Roman" w:hAnsi="Times New Roman"/>
          <w:sz w:val="14"/>
          <w:szCs w:val="14"/>
          <w:color w:val="auto"/>
        </w:rPr>
      </w:pPr>
    </w:p>
    <w:p>
      <w:pPr>
        <w:ind w:left="380" w:hanging="359"/>
        <w:spacing w:after="0" w:line="228" w:lineRule="auto"/>
        <w:tabs>
          <w:tab w:leader="none" w:pos="30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Tod K. Reichert </w:t>
      </w:r>
      <w:r>
        <w:rPr>
          <w:rFonts w:ascii="Times New Roman" w:cs="Times New Roman" w:eastAsia="Times New Roman" w:hAnsi="Times New Roman"/>
          <w:sz w:val="14"/>
          <w:szCs w:val="14"/>
          <w:color w:val="auto"/>
        </w:rPr>
        <w:t>currently serves as the Corporate Secretary of OFS Credit, Hancock Park and OFS Capital, as General Counsel and Corporate Secretary of OFSAM Holdings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OFSAM, and as Managing Director, Chief Administrative Officer and General Counsel of OFS Advisor and OFSC, in which capacity he oversees the legal and operational functions of the firm. Mr. Reichert has over 25 years of experience as a strategic business partner, providing advice on general corporate governance and transactional matters, with a focus on securities laws, compliance, corporate finance, debt and equity investments, and mergers and acquisitions. Prior to joining OFSC, Mr. Reichert served as General Counsel, Chief Compliance Officer and Corporate Secretary of MCG Capital Corporation (Nasdaq: MCGC), managing the legal and compliance departments, overseeing complex litigation, and providing securities law, disclosure and transactional advice to the board of directors and senior management team, while serving as a member of the MCG credit committee and SBIC investment committee. Prior to joining MCG, Mr. Reichert worked as an attorney in private practice in New York, Princeton and Boston at WilmerHale LLP. Mr. Reichert received his J.D. from the Rutgers University School of Law - Newark and his Bachelor of Fine Arts from the University of North Carolina. Mr. Reichert is NACD (National Association of Corporate Directors) Directorship Certified™ and has received a CERT Certificate in Cyber Oversight through the NACD’s Cyber Oversight Program.</w:t>
      </w:r>
    </w:p>
    <w:p>
      <w:pPr>
        <w:spacing w:after="0" w:line="6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931" w:right="719" w:bottom="1440" w:gutter="0" w:footer="0" w:header="0"/>
        </w:sectPr>
      </w:pPr>
    </w:p>
    <w:bookmarkStart w:id="24" w:name="page25"/>
    <w:bookmarkEnd w:id="24"/>
    <w:p>
      <w:pPr>
        <w:ind w:left="3443"/>
        <w:spacing w:after="0"/>
        <w:rPr>
          <w:sz w:val="20"/>
          <w:szCs w:val="20"/>
          <w:color w:val="auto"/>
        </w:rPr>
      </w:pPr>
      <w:r>
        <w:rPr>
          <w:rFonts w:ascii="Times New Roman" w:cs="Times New Roman" w:eastAsia="Times New Roman" w:hAnsi="Times New Roman"/>
          <w:sz w:val="18"/>
          <w:szCs w:val="18"/>
          <w:b w:val="1"/>
          <w:bCs w:val="1"/>
          <w:color w:val="auto"/>
        </w:rPr>
        <w:t>FISCAL YEAR 2025 DIRECTOR COMPENSATION</w:t>
      </w:r>
    </w:p>
    <w:p>
      <w:pPr>
        <w:spacing w:after="0" w:line="67" w:lineRule="exact"/>
        <w:rPr>
          <w:sz w:val="20"/>
          <w:szCs w:val="20"/>
          <w:color w:val="auto"/>
        </w:rPr>
      </w:pPr>
    </w:p>
    <w:p>
      <w:pPr>
        <w:ind w:left="663"/>
        <w:spacing w:after="0"/>
        <w:rPr>
          <w:sz w:val="20"/>
          <w:szCs w:val="20"/>
          <w:color w:val="auto"/>
        </w:rPr>
      </w:pPr>
      <w:r>
        <w:rPr>
          <w:rFonts w:ascii="Times New Roman" w:cs="Times New Roman" w:eastAsia="Times New Roman" w:hAnsi="Times New Roman"/>
          <w:sz w:val="18"/>
          <w:szCs w:val="18"/>
          <w:color w:val="auto"/>
        </w:rPr>
        <w:t>The following table sets forth the compensation paid to our directors for the year ended October 31, 2025:</w:t>
      </w:r>
    </w:p>
    <w:p>
      <w:pPr>
        <w:spacing w:after="0" w:line="226" w:lineRule="exact"/>
        <w:rPr>
          <w:sz w:val="20"/>
          <w:szCs w:val="20"/>
          <w:color w:val="auto"/>
        </w:rPr>
      </w:pPr>
    </w:p>
    <w:tbl>
      <w:tblPr>
        <w:tblLayout w:type="fixed"/>
        <w:tblInd w:w="423" w:type="dxa"/>
        <w:tblCellMar>
          <w:top w:w="0" w:type="dxa"/>
          <w:left w:w="0" w:type="dxa"/>
          <w:bottom w:w="0" w:type="dxa"/>
          <w:right w:w="0" w:type="dxa"/>
        </w:tblCellMar>
      </w:tblPr>
      <w:tr>
        <w:trPr>
          <w:trHeight w:val="149"/>
        </w:trPr>
        <w:tc>
          <w:tcPr>
            <w:tcW w:w="2460" w:type="dxa"/>
            <w:vAlign w:val="bottom"/>
          </w:tcPr>
          <w:p>
            <w:pPr>
              <w:spacing w:after="0"/>
              <w:rPr>
                <w:sz w:val="12"/>
                <w:szCs w:val="12"/>
                <w:color w:val="auto"/>
              </w:rPr>
            </w:pPr>
          </w:p>
        </w:tc>
        <w:tc>
          <w:tcPr>
            <w:tcW w:w="2340" w:type="dxa"/>
            <w:vAlign w:val="bottom"/>
          </w:tcPr>
          <w:p>
            <w:pPr>
              <w:ind w:left="780"/>
              <w:spacing w:after="0"/>
              <w:rPr>
                <w:sz w:val="20"/>
                <w:szCs w:val="20"/>
                <w:color w:val="auto"/>
              </w:rPr>
            </w:pPr>
            <w:r>
              <w:rPr>
                <w:rFonts w:ascii="Times New Roman" w:cs="Times New Roman" w:eastAsia="Times New Roman" w:hAnsi="Times New Roman"/>
                <w:sz w:val="13"/>
                <w:szCs w:val="13"/>
                <w:b w:val="1"/>
                <w:bCs w:val="1"/>
                <w:color w:val="auto"/>
              </w:rPr>
              <w:t>Fees Earned or Paid in</w:t>
            </w:r>
          </w:p>
        </w:tc>
        <w:tc>
          <w:tcPr>
            <w:tcW w:w="126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 Compensation from OFS</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 Compensation from</w:t>
            </w:r>
          </w:p>
        </w:tc>
      </w:tr>
      <w:tr>
        <w:trPr>
          <w:trHeight w:val="148"/>
        </w:trPr>
        <w:tc>
          <w:tcPr>
            <w:tcW w:w="2460" w:type="dxa"/>
            <w:vAlign w:val="bottom"/>
          </w:tcPr>
          <w:p>
            <w:pPr>
              <w:spacing w:after="0"/>
              <w:rPr>
                <w:sz w:val="12"/>
                <w:szCs w:val="12"/>
                <w:color w:val="auto"/>
              </w:rPr>
            </w:pPr>
          </w:p>
        </w:tc>
        <w:tc>
          <w:tcPr>
            <w:tcW w:w="2340" w:type="dxa"/>
            <w:vAlign w:val="bottom"/>
          </w:tcPr>
          <w:p>
            <w:pPr>
              <w:jc w:val="center"/>
              <w:ind w:left="513"/>
              <w:spacing w:after="0"/>
              <w:rPr>
                <w:sz w:val="20"/>
                <w:szCs w:val="20"/>
                <w:color w:val="auto"/>
              </w:rPr>
            </w:pPr>
            <w:r>
              <w:rPr>
                <w:rFonts w:ascii="Times New Roman" w:cs="Times New Roman" w:eastAsia="Times New Roman" w:hAnsi="Times New Roman"/>
                <w:sz w:val="13"/>
                <w:szCs w:val="13"/>
                <w:b w:val="1"/>
                <w:bCs w:val="1"/>
                <w:color w:val="auto"/>
              </w:rPr>
              <w:t>Cash(2)</w:t>
            </w:r>
          </w:p>
        </w:tc>
        <w:tc>
          <w:tcPr>
            <w:tcW w:w="126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Credit</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Fund Complex(3)</w:t>
            </w:r>
          </w:p>
        </w:tc>
      </w:tr>
      <w:tr>
        <w:trPr>
          <w:trHeight w:val="165"/>
        </w:trPr>
        <w:tc>
          <w:tcPr>
            <w:tcW w:w="246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340" w:type="dxa"/>
            <w:vAlign w:val="bottom"/>
            <w:tcBorders>
              <w:bottom w:val="single" w:sz="8" w:color="auto"/>
            </w:tcBorders>
          </w:tcPr>
          <w:p>
            <w:pPr>
              <w:jc w:val="center"/>
              <w:ind w:left="513"/>
              <w:spacing w:after="0"/>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30"/>
        </w:trPr>
        <w:tc>
          <w:tcPr>
            <w:tcW w:w="2460" w:type="dxa"/>
            <w:vAlign w:val="bottom"/>
            <w:tcBorders>
              <w:bottom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3"/>
                <w:szCs w:val="13"/>
                <w:b w:val="1"/>
                <w:bCs w:val="1"/>
                <w:color w:val="auto"/>
              </w:rPr>
              <w:t>Kathleen M. Griggs</w:t>
            </w:r>
          </w:p>
        </w:tc>
        <w:tc>
          <w:tcPr>
            <w:tcW w:w="2340" w:type="dxa"/>
            <w:vAlign w:val="bottom"/>
            <w:tcBorders>
              <w:bottom w:val="single" w:sz="8" w:color="CCECFF"/>
            </w:tcBorders>
            <w:shd w:val="clear" w:color="auto" w:fill="CCECFF"/>
          </w:tcPr>
          <w:p>
            <w:pPr>
              <w:jc w:val="center"/>
              <w:ind w:left="513"/>
              <w:spacing w:after="0"/>
              <w:rPr>
                <w:sz w:val="20"/>
                <w:szCs w:val="20"/>
                <w:color w:val="auto"/>
              </w:rPr>
            </w:pPr>
            <w:r>
              <w:rPr>
                <w:rFonts w:ascii="Times New Roman" w:cs="Times New Roman" w:eastAsia="Times New Roman" w:hAnsi="Times New Roman"/>
                <w:sz w:val="13"/>
                <w:szCs w:val="13"/>
                <w:color w:val="auto"/>
              </w:rPr>
              <w:t>66,250</w:t>
            </w:r>
          </w:p>
        </w:tc>
        <w:tc>
          <w:tcPr>
            <w:tcW w:w="12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2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66,250</w:t>
            </w:r>
          </w:p>
        </w:tc>
        <w:tc>
          <w:tcPr>
            <w:tcW w:w="19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66,250</w:t>
            </w:r>
          </w:p>
        </w:tc>
      </w:tr>
      <w:tr>
        <w:trPr>
          <w:trHeight w:val="216"/>
        </w:trPr>
        <w:tc>
          <w:tcPr>
            <w:tcW w:w="24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Romita Shetty</w:t>
            </w:r>
          </w:p>
        </w:tc>
        <w:tc>
          <w:tcPr>
            <w:tcW w:w="2340" w:type="dxa"/>
            <w:vAlign w:val="bottom"/>
          </w:tcPr>
          <w:p>
            <w:pPr>
              <w:jc w:val="center"/>
              <w:ind w:left="513"/>
              <w:spacing w:after="0"/>
              <w:rPr>
                <w:sz w:val="20"/>
                <w:szCs w:val="20"/>
                <w:color w:val="auto"/>
              </w:rPr>
            </w:pPr>
            <w:r>
              <w:rPr>
                <w:rFonts w:ascii="Times New Roman" w:cs="Times New Roman" w:eastAsia="Times New Roman" w:hAnsi="Times New Roman"/>
                <w:sz w:val="13"/>
                <w:szCs w:val="13"/>
                <w:color w:val="auto"/>
              </w:rPr>
              <w:t>66,250</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66,250</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166,250</w:t>
            </w:r>
          </w:p>
        </w:tc>
      </w:tr>
      <w:tr>
        <w:trPr>
          <w:trHeight w:val="41"/>
        </w:trPr>
        <w:tc>
          <w:tcPr>
            <w:tcW w:w="24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940" w:type="dxa"/>
            <w:vAlign w:val="bottom"/>
          </w:tcPr>
          <w:p>
            <w:pPr>
              <w:spacing w:after="0"/>
              <w:rPr>
                <w:sz w:val="3"/>
                <w:szCs w:val="3"/>
                <w:color w:val="auto"/>
              </w:rPr>
            </w:pPr>
          </w:p>
        </w:tc>
      </w:tr>
      <w:tr>
        <w:trPr>
          <w:trHeight w:val="237"/>
        </w:trPr>
        <w:tc>
          <w:tcPr>
            <w:tcW w:w="2460" w:type="dxa"/>
            <w:vAlign w:val="bottom"/>
            <w:tcBorders>
              <w:bottom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3"/>
                <w:szCs w:val="13"/>
                <w:b w:val="1"/>
                <w:bCs w:val="1"/>
                <w:color w:val="auto"/>
              </w:rPr>
              <w:t>Kate M. Fitta</w:t>
            </w:r>
          </w:p>
        </w:tc>
        <w:tc>
          <w:tcPr>
            <w:tcW w:w="2340" w:type="dxa"/>
            <w:vAlign w:val="bottom"/>
            <w:tcBorders>
              <w:bottom w:val="single" w:sz="8" w:color="CCECFF"/>
            </w:tcBorders>
            <w:shd w:val="clear" w:color="auto" w:fill="CCECFF"/>
          </w:tcPr>
          <w:p>
            <w:pPr>
              <w:jc w:val="center"/>
              <w:ind w:left="513"/>
              <w:spacing w:after="0"/>
              <w:rPr>
                <w:sz w:val="20"/>
                <w:szCs w:val="20"/>
                <w:color w:val="auto"/>
              </w:rPr>
            </w:pPr>
            <w:r>
              <w:rPr>
                <w:rFonts w:ascii="Times New Roman" w:cs="Times New Roman" w:eastAsia="Times New Roman" w:hAnsi="Times New Roman"/>
                <w:sz w:val="13"/>
                <w:szCs w:val="13"/>
                <w:color w:val="auto"/>
              </w:rPr>
              <w:t>66,250</w:t>
            </w:r>
          </w:p>
        </w:tc>
        <w:tc>
          <w:tcPr>
            <w:tcW w:w="12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2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66,250</w:t>
            </w:r>
          </w:p>
        </w:tc>
        <w:tc>
          <w:tcPr>
            <w:tcW w:w="19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66,250</w:t>
            </w:r>
          </w:p>
        </w:tc>
      </w:tr>
      <w:tr>
        <w:trPr>
          <w:trHeight w:val="215"/>
        </w:trPr>
        <w:tc>
          <w:tcPr>
            <w:tcW w:w="24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Bilal Rashid(1)</w:t>
            </w:r>
          </w:p>
        </w:tc>
        <w:tc>
          <w:tcPr>
            <w:tcW w:w="2340" w:type="dxa"/>
            <w:vAlign w:val="bottom"/>
          </w:tcPr>
          <w:p>
            <w:pPr>
              <w:jc w:val="center"/>
              <w:ind w:left="493"/>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41"/>
        </w:trPr>
        <w:tc>
          <w:tcPr>
            <w:tcW w:w="24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940" w:type="dxa"/>
            <w:vAlign w:val="bottom"/>
          </w:tcPr>
          <w:p>
            <w:pPr>
              <w:spacing w:after="0"/>
              <w:rPr>
                <w:sz w:val="3"/>
                <w:szCs w:val="3"/>
                <w:color w:val="auto"/>
              </w:rPr>
            </w:pPr>
          </w:p>
        </w:tc>
      </w:tr>
      <w:tr>
        <w:trPr>
          <w:trHeight w:val="216"/>
        </w:trPr>
        <w:tc>
          <w:tcPr>
            <w:tcW w:w="24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b w:val="1"/>
                <w:bCs w:val="1"/>
                <w:color w:val="auto"/>
              </w:rPr>
              <w:t>Jeffrey A. Cerny(1)</w:t>
            </w:r>
          </w:p>
        </w:tc>
        <w:tc>
          <w:tcPr>
            <w:tcW w:w="2340" w:type="dxa"/>
            <w:vAlign w:val="bottom"/>
            <w:shd w:val="clear" w:color="auto" w:fill="CCECFF"/>
          </w:tcPr>
          <w:p>
            <w:pPr>
              <w:jc w:val="center"/>
              <w:ind w:left="493"/>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41"/>
        </w:trPr>
        <w:tc>
          <w:tcPr>
            <w:tcW w:w="2460" w:type="dxa"/>
            <w:vAlign w:val="bottom"/>
            <w:shd w:val="clear" w:color="auto" w:fill="CCECFF"/>
          </w:tcPr>
          <w:p>
            <w:pPr>
              <w:spacing w:after="0"/>
              <w:rPr>
                <w:sz w:val="3"/>
                <w:szCs w:val="3"/>
                <w:color w:val="auto"/>
              </w:rPr>
            </w:pPr>
          </w:p>
        </w:tc>
        <w:tc>
          <w:tcPr>
            <w:tcW w:w="2340" w:type="dxa"/>
            <w:vAlign w:val="bottom"/>
            <w:shd w:val="clear" w:color="auto" w:fill="CCECFF"/>
          </w:tcPr>
          <w:p>
            <w:pPr>
              <w:spacing w:after="0"/>
              <w:rPr>
                <w:sz w:val="3"/>
                <w:szCs w:val="3"/>
                <w:color w:val="auto"/>
              </w:rPr>
            </w:pPr>
          </w:p>
        </w:tc>
        <w:tc>
          <w:tcPr>
            <w:tcW w:w="1260" w:type="dxa"/>
            <w:vAlign w:val="bottom"/>
            <w:shd w:val="clear" w:color="auto" w:fill="CCECFF"/>
          </w:tcPr>
          <w:p>
            <w:pPr>
              <w:spacing w:after="0"/>
              <w:rPr>
                <w:sz w:val="3"/>
                <w:szCs w:val="3"/>
                <w:color w:val="auto"/>
              </w:rPr>
            </w:pPr>
          </w:p>
        </w:tc>
        <w:tc>
          <w:tcPr>
            <w:tcW w:w="2220" w:type="dxa"/>
            <w:vAlign w:val="bottom"/>
            <w:shd w:val="clear" w:color="auto" w:fill="CCECFF"/>
          </w:tcPr>
          <w:p>
            <w:pPr>
              <w:spacing w:after="0"/>
              <w:rPr>
                <w:sz w:val="3"/>
                <w:szCs w:val="3"/>
                <w:color w:val="auto"/>
              </w:rPr>
            </w:pPr>
          </w:p>
        </w:tc>
        <w:tc>
          <w:tcPr>
            <w:tcW w:w="1940" w:type="dxa"/>
            <w:vAlign w:val="bottom"/>
            <w:shd w:val="clear" w:color="auto" w:fill="CCEC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128905</wp:posOffset>
            </wp:positionV>
            <wp:extent cx="274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54" w:lineRule="exact"/>
        <w:rPr>
          <w:sz w:val="20"/>
          <w:szCs w:val="20"/>
          <w:color w:val="auto"/>
        </w:rPr>
      </w:pPr>
    </w:p>
    <w:p>
      <w:pPr>
        <w:ind w:left="363" w:hanging="363"/>
        <w:spacing w:after="0"/>
        <w:tabs>
          <w:tab w:leader="none" w:pos="363" w:val="left"/>
        </w:tabs>
        <w:numPr>
          <w:ilvl w:val="0"/>
          <w:numId w:val="22"/>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No compensation is paid to directors who are “interested persons.”</w:t>
      </w:r>
    </w:p>
    <w:p>
      <w:pPr>
        <w:spacing w:after="0" w:line="41" w:lineRule="exact"/>
        <w:rPr>
          <w:rFonts w:ascii="Times New Roman" w:cs="Times New Roman" w:eastAsia="Times New Roman" w:hAnsi="Times New Roman"/>
          <w:sz w:val="14"/>
          <w:szCs w:val="14"/>
          <w:color w:val="231F20"/>
        </w:rPr>
      </w:pPr>
    </w:p>
    <w:p>
      <w:pPr>
        <w:jc w:val="both"/>
        <w:ind w:left="363" w:hanging="363"/>
        <w:spacing w:after="0" w:line="233" w:lineRule="auto"/>
        <w:tabs>
          <w:tab w:leader="none" w:pos="363" w:val="left"/>
        </w:tabs>
        <w:numPr>
          <w:ilvl w:val="0"/>
          <w:numId w:val="22"/>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Each independent director is entitled to receive an annual cash retainer fee, determined based on the Company’s net asset value as of the end of each fiscal quarter. The annual cash retainer fee was $50,000 for a net asset value of $125.0 million or less, and is $75,000 for a net asset value of more than $125.0 million. In the fourth fiscal quarter of 2025, the Company’s net asset value exceeded $125.0 million, which resulted in an increase in the annual cash retainer fee beginning that quarter. In addition, independent directors receive an annual fee of $10,000 for serving on one or more committees of the Board. We also reimburse our independent directors for reasonable out-of-pocket expenses incurred in attending our board of directors and committee meetings. We have obtained directors’ and officers’ liability insurance on behalf of our directors and officers.</w:t>
      </w:r>
    </w:p>
    <w:p>
      <w:pPr>
        <w:spacing w:after="0" w:line="15" w:lineRule="exact"/>
        <w:rPr>
          <w:rFonts w:ascii="Times New Roman" w:cs="Times New Roman" w:eastAsia="Times New Roman" w:hAnsi="Times New Roman"/>
          <w:sz w:val="14"/>
          <w:szCs w:val="14"/>
          <w:color w:val="231F20"/>
        </w:rPr>
      </w:pPr>
    </w:p>
    <w:p>
      <w:pPr>
        <w:ind w:left="363" w:hanging="363"/>
        <w:spacing w:after="0"/>
        <w:tabs>
          <w:tab w:leader="none" w:pos="363" w:val="left"/>
        </w:tabs>
        <w:numPr>
          <w:ilvl w:val="0"/>
          <w:numId w:val="22"/>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“Fund Complex” includes the Company, OFS Capital and Hancock Park, each of which is advised by OFS Advisor, and CIM RACR, which is sub-advised by OFS Advisor.</w:t>
      </w:r>
    </w:p>
    <w:p>
      <w:pPr>
        <w:spacing w:after="0" w:line="32" w:lineRule="exact"/>
        <w:rPr>
          <w:sz w:val="20"/>
          <w:szCs w:val="20"/>
          <w:color w:val="auto"/>
        </w:rPr>
      </w:pPr>
    </w:p>
    <w:p>
      <w:pPr>
        <w:jc w:val="center"/>
        <w:ind w:right="-282"/>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236220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3"/>
          </w:cols>
          <w:pgMar w:left="417" w:top="1022" w:right="719" w:bottom="1440" w:gutter="0" w:footer="0" w:header="0"/>
        </w:sectPr>
      </w:pPr>
    </w:p>
    <w:bookmarkStart w:id="25" w:name="page26"/>
    <w:bookmarkEnd w:id="25"/>
    <w:p>
      <w:pPr>
        <w:ind w:left="4520"/>
        <w:spacing w:after="0"/>
        <w:rPr>
          <w:sz w:val="20"/>
          <w:szCs w:val="20"/>
          <w:color w:val="auto"/>
        </w:rPr>
      </w:pPr>
      <w:r>
        <w:rPr>
          <w:rFonts w:ascii="Times New Roman" w:cs="Times New Roman" w:eastAsia="Times New Roman" w:hAnsi="Times New Roman"/>
          <w:sz w:val="18"/>
          <w:szCs w:val="18"/>
          <w:b w:val="1"/>
          <w:bCs w:val="1"/>
          <w:color w:val="auto"/>
        </w:rPr>
        <w:t>PROPOSAL TWO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ratification of the selection of KPMG LLP as our independent registered public accounting firm for the fiscal year ending October 31, 2026.</w:t>
      </w:r>
    </w:p>
    <w:p>
      <w:pPr>
        <w:spacing w:after="0" w:line="51" w:lineRule="exact"/>
        <w:rPr>
          <w:sz w:val="20"/>
          <w:szCs w:val="20"/>
          <w:color w:val="auto"/>
        </w:rPr>
      </w:pPr>
    </w:p>
    <w:p>
      <w:pPr>
        <w:jc w:val="both"/>
        <w:ind w:firstLine="723"/>
        <w:spacing w:after="0" w:line="266" w:lineRule="auto"/>
        <w:rPr>
          <w:sz w:val="20"/>
          <w:szCs w:val="20"/>
          <w:color w:val="auto"/>
        </w:rPr>
      </w:pPr>
      <w:r>
        <w:rPr>
          <w:rFonts w:ascii="Times New Roman" w:cs="Times New Roman" w:eastAsia="Times New Roman" w:hAnsi="Times New Roman"/>
          <w:sz w:val="18"/>
          <w:szCs w:val="18"/>
          <w:color w:val="auto"/>
        </w:rPr>
        <w:t>Our board of directors has selected the firm of KPMG LLP as our independent registered public accounting firm for the fiscal year ending October 31, 2026, subject to ratification by stockholders. If this proposal is not approved at the Annual Meeting, our board of directors will reconsider its appointment of KPMG LLP.</w:t>
      </w:r>
    </w:p>
    <w:p>
      <w:pPr>
        <w:spacing w:after="0" w:line="68" w:lineRule="exact"/>
        <w:rPr>
          <w:sz w:val="20"/>
          <w:szCs w:val="20"/>
          <w:color w:val="auto"/>
        </w:rPr>
      </w:pPr>
    </w:p>
    <w:p>
      <w:pPr>
        <w:jc w:val="both"/>
        <w:ind w:firstLine="723"/>
        <w:spacing w:after="0" w:line="282" w:lineRule="auto"/>
        <w:rPr>
          <w:sz w:val="20"/>
          <w:szCs w:val="20"/>
          <w:color w:val="auto"/>
        </w:rPr>
      </w:pPr>
      <w:r>
        <w:rPr>
          <w:rFonts w:ascii="Times New Roman" w:cs="Times New Roman" w:eastAsia="Times New Roman" w:hAnsi="Times New Roman"/>
          <w:sz w:val="18"/>
          <w:szCs w:val="18"/>
          <w:color w:val="auto"/>
        </w:rPr>
        <w:t>KPMG LLP has advised us that neither the firm nor any present member or associate of it has any material financial interest, direct or indirect, in us or our subsidiaries.</w:t>
      </w:r>
    </w:p>
    <w:p>
      <w:pPr>
        <w:spacing w:after="0" w:line="54" w:lineRule="exact"/>
        <w:rPr>
          <w:sz w:val="20"/>
          <w:szCs w:val="20"/>
          <w:color w:val="auto"/>
        </w:rPr>
      </w:pPr>
    </w:p>
    <w:p>
      <w:pPr>
        <w:jc w:val="both"/>
        <w:ind w:firstLine="723"/>
        <w:spacing w:after="0" w:line="282" w:lineRule="auto"/>
        <w:rPr>
          <w:sz w:val="20"/>
          <w:szCs w:val="20"/>
          <w:color w:val="auto"/>
        </w:rPr>
      </w:pPr>
      <w:r>
        <w:rPr>
          <w:rFonts w:ascii="Times New Roman" w:cs="Times New Roman" w:eastAsia="Times New Roman" w:hAnsi="Times New Roman"/>
          <w:sz w:val="18"/>
          <w:szCs w:val="18"/>
          <w:color w:val="auto"/>
        </w:rPr>
        <w:t>Representatives of KPMG LLP are expected to be present at the Annual Meeting and will have the opportunity to make a statement, if they desire to do so, and will be available to respond to appropriate questions from our stockholders.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Fees</w:t>
      </w:r>
    </w:p>
    <w:p>
      <w:pPr>
        <w:spacing w:after="0" w:line="121" w:lineRule="exact"/>
        <w:rPr>
          <w:sz w:val="20"/>
          <w:szCs w:val="20"/>
          <w:color w:val="auto"/>
        </w:rPr>
      </w:pPr>
    </w:p>
    <w:p>
      <w:pPr>
        <w:jc w:val="both"/>
        <w:ind w:firstLine="723"/>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of KPMG LLP, the Company’s independent registered public accounting firm, billed for our fiscal years ended October 31, 2025 and October 31, 2024:</w:t>
      </w:r>
    </w:p>
    <w:p>
      <w:pPr>
        <w:spacing w:after="0" w:line="54"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3460" w:type="dxa"/>
            <w:vAlign w:val="bottom"/>
          </w:tcPr>
          <w:p>
            <w:pPr>
              <w:spacing w:after="0"/>
              <w:rPr>
                <w:sz w:val="12"/>
                <w:szCs w:val="12"/>
                <w:color w:val="auto"/>
              </w:rPr>
            </w:pPr>
          </w:p>
        </w:tc>
        <w:tc>
          <w:tcPr>
            <w:tcW w:w="3860" w:type="dxa"/>
            <w:vAlign w:val="bottom"/>
          </w:tcPr>
          <w:p>
            <w:pPr>
              <w:jc w:val="center"/>
              <w:ind w:left="1473"/>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2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Fiscal Year Ended</w:t>
            </w:r>
          </w:p>
        </w:tc>
      </w:tr>
      <w:tr>
        <w:trPr>
          <w:trHeight w:val="148"/>
        </w:trPr>
        <w:tc>
          <w:tcPr>
            <w:tcW w:w="3460" w:type="dxa"/>
            <w:vAlign w:val="bottom"/>
          </w:tcPr>
          <w:p>
            <w:pPr>
              <w:spacing w:after="0"/>
              <w:rPr>
                <w:sz w:val="12"/>
                <w:szCs w:val="12"/>
                <w:color w:val="auto"/>
              </w:rPr>
            </w:pPr>
          </w:p>
        </w:tc>
        <w:tc>
          <w:tcPr>
            <w:tcW w:w="3860" w:type="dxa"/>
            <w:vAlign w:val="bottom"/>
          </w:tcPr>
          <w:p>
            <w:pPr>
              <w:jc w:val="center"/>
              <w:ind w:left="1473"/>
              <w:spacing w:after="0"/>
              <w:rPr>
                <w:sz w:val="20"/>
                <w:szCs w:val="20"/>
                <w:color w:val="auto"/>
              </w:rPr>
            </w:pPr>
            <w:r>
              <w:rPr>
                <w:rFonts w:ascii="Times New Roman" w:cs="Times New Roman" w:eastAsia="Times New Roman" w:hAnsi="Times New Roman"/>
                <w:sz w:val="13"/>
                <w:szCs w:val="13"/>
                <w:b w:val="1"/>
                <w:bCs w:val="1"/>
                <w:color w:val="auto"/>
              </w:rPr>
              <w:t>October 31, 2025</w:t>
            </w:r>
          </w:p>
        </w:tc>
        <w:tc>
          <w:tcPr>
            <w:tcW w:w="2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October 31, 2024</w:t>
            </w:r>
          </w:p>
        </w:tc>
      </w:tr>
      <w:tr>
        <w:trPr>
          <w:trHeight w:val="165"/>
        </w:trPr>
        <w:tc>
          <w:tcPr>
            <w:tcW w:w="3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Fee Category(1)</w:t>
            </w:r>
          </w:p>
        </w:tc>
        <w:tc>
          <w:tcPr>
            <w:tcW w:w="3860" w:type="dxa"/>
            <w:vAlign w:val="bottom"/>
            <w:tcBorders>
              <w:bottom w:val="single" w:sz="8" w:color="auto"/>
            </w:tcBorders>
          </w:tcPr>
          <w:p>
            <w:pPr>
              <w:jc w:val="center"/>
              <w:ind w:left="1473"/>
              <w:spacing w:after="0"/>
              <w:rPr>
                <w:sz w:val="20"/>
                <w:szCs w:val="20"/>
                <w:color w:val="auto"/>
              </w:rPr>
            </w:pPr>
            <w:r>
              <w:rPr>
                <w:rFonts w:ascii="Times New Roman" w:cs="Times New Roman" w:eastAsia="Times New Roman" w:hAnsi="Times New Roman"/>
                <w:sz w:val="13"/>
                <w:szCs w:val="13"/>
                <w:b w:val="1"/>
                <w:bCs w:val="1"/>
                <w:color w:val="auto"/>
              </w:rPr>
              <w:t>($)</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r>
      <w:tr>
        <w:trPr>
          <w:trHeight w:val="142"/>
        </w:trPr>
        <w:tc>
          <w:tcPr>
            <w:tcW w:w="3460" w:type="dxa"/>
            <w:vAlign w:val="bottom"/>
            <w:shd w:val="clear" w:color="auto" w:fill="CCECFF"/>
          </w:tcPr>
          <w:p>
            <w:pPr>
              <w:ind w:left="100"/>
              <w:spacing w:after="0" w:line="142" w:lineRule="exact"/>
              <w:rPr>
                <w:sz w:val="20"/>
                <w:szCs w:val="20"/>
                <w:color w:val="auto"/>
              </w:rPr>
            </w:pPr>
            <w:r>
              <w:rPr>
                <w:rFonts w:ascii="Times New Roman" w:cs="Times New Roman" w:eastAsia="Times New Roman" w:hAnsi="Times New Roman"/>
                <w:sz w:val="13"/>
                <w:szCs w:val="13"/>
                <w:color w:val="auto"/>
              </w:rPr>
              <w:t>Audit Fees(2)</w:t>
            </w:r>
          </w:p>
        </w:tc>
        <w:tc>
          <w:tcPr>
            <w:tcW w:w="3860" w:type="dxa"/>
            <w:vAlign w:val="bottom"/>
            <w:shd w:val="clear" w:color="auto" w:fill="CCECFF"/>
          </w:tcPr>
          <w:p>
            <w:pPr>
              <w:jc w:val="center"/>
              <w:ind w:left="1473"/>
              <w:spacing w:after="0" w:line="142" w:lineRule="exact"/>
              <w:rPr>
                <w:sz w:val="20"/>
                <w:szCs w:val="20"/>
                <w:color w:val="auto"/>
              </w:rPr>
            </w:pPr>
            <w:r>
              <w:rPr>
                <w:rFonts w:ascii="Times New Roman" w:cs="Times New Roman" w:eastAsia="Times New Roman" w:hAnsi="Times New Roman"/>
                <w:sz w:val="13"/>
                <w:szCs w:val="13"/>
                <w:color w:val="auto"/>
              </w:rPr>
              <w:t>454,950</w:t>
            </w:r>
          </w:p>
        </w:tc>
        <w:tc>
          <w:tcPr>
            <w:tcW w:w="2340" w:type="dxa"/>
            <w:vAlign w:val="bottom"/>
            <w:shd w:val="clear" w:color="auto" w:fill="CCECFF"/>
          </w:tcPr>
          <w:p>
            <w:pPr>
              <w:jc w:val="center"/>
              <w:spacing w:after="0" w:line="142" w:lineRule="exact"/>
              <w:rPr>
                <w:sz w:val="20"/>
                <w:szCs w:val="20"/>
                <w:color w:val="auto"/>
              </w:rPr>
            </w:pPr>
            <w:r>
              <w:rPr>
                <w:rFonts w:ascii="Times New Roman" w:cs="Times New Roman" w:eastAsia="Times New Roman" w:hAnsi="Times New Roman"/>
                <w:sz w:val="13"/>
                <w:szCs w:val="13"/>
                <w:color w:val="auto"/>
              </w:rPr>
              <w:t>565,828</w:t>
            </w:r>
          </w:p>
        </w:tc>
      </w:tr>
      <w:tr>
        <w:trPr>
          <w:trHeight w:val="148"/>
        </w:trPr>
        <w:tc>
          <w:tcPr>
            <w:tcW w:w="3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Audit-Related Fees(3)</w:t>
            </w:r>
          </w:p>
        </w:tc>
        <w:tc>
          <w:tcPr>
            <w:tcW w:w="3860" w:type="dxa"/>
            <w:vAlign w:val="bottom"/>
          </w:tcPr>
          <w:p>
            <w:pPr>
              <w:jc w:val="center"/>
              <w:ind w:left="1473"/>
              <w:spacing w:after="0"/>
              <w:rPr>
                <w:sz w:val="20"/>
                <w:szCs w:val="20"/>
                <w:color w:val="auto"/>
              </w:rPr>
            </w:pPr>
            <w:r>
              <w:rPr>
                <w:rFonts w:ascii="Times New Roman" w:cs="Times New Roman" w:eastAsia="Times New Roman" w:hAnsi="Times New Roman"/>
                <w:sz w:val="13"/>
                <w:szCs w:val="13"/>
                <w:color w:val="auto"/>
                <w:w w:val="91"/>
              </w:rPr>
              <w:t>—</w:t>
            </w:r>
          </w:p>
        </w:tc>
        <w:tc>
          <w:tcPr>
            <w:tcW w:w="2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34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Tax Fees(4)</w:t>
            </w:r>
          </w:p>
        </w:tc>
        <w:tc>
          <w:tcPr>
            <w:tcW w:w="3860" w:type="dxa"/>
            <w:vAlign w:val="bottom"/>
            <w:shd w:val="clear" w:color="auto" w:fill="CCECFF"/>
          </w:tcPr>
          <w:p>
            <w:pPr>
              <w:jc w:val="center"/>
              <w:ind w:left="1473"/>
              <w:spacing w:after="0"/>
              <w:rPr>
                <w:sz w:val="20"/>
                <w:szCs w:val="20"/>
                <w:color w:val="auto"/>
              </w:rPr>
            </w:pPr>
            <w:r>
              <w:rPr>
                <w:rFonts w:ascii="Times New Roman" w:cs="Times New Roman" w:eastAsia="Times New Roman" w:hAnsi="Times New Roman"/>
                <w:sz w:val="13"/>
                <w:szCs w:val="13"/>
                <w:color w:val="auto"/>
              </w:rPr>
              <w:t>55,000</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53,000</w:t>
            </w:r>
          </w:p>
        </w:tc>
      </w:tr>
      <w:tr>
        <w:trPr>
          <w:trHeight w:val="148"/>
        </w:trPr>
        <w:tc>
          <w:tcPr>
            <w:tcW w:w="3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All Other Fees(5)</w:t>
            </w:r>
          </w:p>
        </w:tc>
        <w:tc>
          <w:tcPr>
            <w:tcW w:w="3860" w:type="dxa"/>
            <w:vAlign w:val="bottom"/>
          </w:tcPr>
          <w:p>
            <w:pPr>
              <w:jc w:val="center"/>
              <w:ind w:left="1473"/>
              <w:spacing w:after="0"/>
              <w:rPr>
                <w:sz w:val="20"/>
                <w:szCs w:val="20"/>
                <w:color w:val="auto"/>
              </w:rPr>
            </w:pPr>
            <w:r>
              <w:rPr>
                <w:rFonts w:ascii="Times New Roman" w:cs="Times New Roman" w:eastAsia="Times New Roman" w:hAnsi="Times New Roman"/>
                <w:sz w:val="13"/>
                <w:szCs w:val="13"/>
                <w:color w:val="auto"/>
                <w:w w:val="91"/>
              </w:rPr>
              <w:t>—</w:t>
            </w:r>
          </w:p>
        </w:tc>
        <w:tc>
          <w:tcPr>
            <w:tcW w:w="2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34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Total Fees(6)</w:t>
            </w:r>
          </w:p>
        </w:tc>
        <w:tc>
          <w:tcPr>
            <w:tcW w:w="3860" w:type="dxa"/>
            <w:vAlign w:val="bottom"/>
            <w:shd w:val="clear" w:color="auto" w:fill="CCECFF"/>
          </w:tcPr>
          <w:p>
            <w:pPr>
              <w:jc w:val="center"/>
              <w:ind w:left="1473"/>
              <w:spacing w:after="0"/>
              <w:rPr>
                <w:sz w:val="20"/>
                <w:szCs w:val="20"/>
                <w:color w:val="auto"/>
              </w:rPr>
            </w:pPr>
            <w:r>
              <w:rPr>
                <w:rFonts w:ascii="Times New Roman" w:cs="Times New Roman" w:eastAsia="Times New Roman" w:hAnsi="Times New Roman"/>
                <w:sz w:val="13"/>
                <w:szCs w:val="13"/>
                <w:color w:val="auto"/>
              </w:rPr>
              <w:t>509,950</w:t>
            </w: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618,828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222885</wp:posOffset>
            </wp:positionV>
            <wp:extent cx="274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760" w:right="580" w:hanging="356"/>
        <w:spacing w:after="0" w:line="249" w:lineRule="auto"/>
        <w:tabs>
          <w:tab w:leader="none" w:pos="683"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fiscal years ended October 31, 2025 and October 31, 2024, the independent accountant billed $243,250 and $248,000 respectively, for audit and non-audit services rendered to OFS Advisor, which are not reflected in the table above.</w:t>
      </w:r>
    </w:p>
    <w:p>
      <w:pPr>
        <w:ind w:left="760" w:right="640" w:hanging="356"/>
        <w:spacing w:after="0" w:line="238" w:lineRule="auto"/>
        <w:tabs>
          <w:tab w:leader="none" w:pos="683"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 fees include fees for professional services that generally only the independent accountant can provide. In addition to fees, including out-of-pocket expenses, for the audit of our annual financial statements, this category contains fees for comfort letters and consents related to regulatory filings.</w:t>
      </w:r>
    </w:p>
    <w:p>
      <w:pPr>
        <w:ind w:left="760" w:right="420" w:hanging="356"/>
        <w:spacing w:after="0" w:line="238" w:lineRule="auto"/>
        <w:tabs>
          <w:tab w:leader="none" w:pos="683"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Audit-related services consist of fees billed, including out-of-pocket expenses, for assurance and related services that are reasonably related to the performance of the audit or review of our financial statements and are not reported under “Audit Fees.” These services include attest services that are not required by statute or regulation and consultations concerning financial accounting and reporting standards.</w:t>
      </w:r>
    </w:p>
    <w:p>
      <w:pPr>
        <w:ind w:left="760" w:right="500" w:hanging="356"/>
        <w:spacing w:after="0" w:line="238" w:lineRule="auto"/>
        <w:tabs>
          <w:tab w:leader="none" w:pos="683"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fees consist of fees billed, including out-of-pocket expenses, for professional services for tax compliance. These services include assistance regarding federal, state, and local tax compliance.</w:t>
      </w:r>
    </w:p>
    <w:p>
      <w:pPr>
        <w:ind w:left="680" w:hanging="276"/>
        <w:spacing w:after="0"/>
        <w:tabs>
          <w:tab w:leader="none" w:pos="6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Fees for other services would include fees for products and services other than the services reported above.</w:t>
      </w:r>
    </w:p>
    <w:p>
      <w:pPr>
        <w:ind w:left="680" w:hanging="276"/>
        <w:spacing w:after="0"/>
        <w:tabs>
          <w:tab w:leader="none" w:pos="6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fees set forth above were approved by our audit committee.</w:t>
      </w:r>
    </w:p>
    <w:p>
      <w:pPr>
        <w:spacing w:after="0" w:line="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jc w:val="both"/>
        <w:ind w:firstLine="723"/>
        <w:spacing w:after="0" w:line="261" w:lineRule="auto"/>
        <w:rPr>
          <w:sz w:val="20"/>
          <w:szCs w:val="20"/>
          <w:color w:val="auto"/>
        </w:rPr>
      </w:pPr>
      <w:r>
        <w:rPr>
          <w:rFonts w:ascii="Times New Roman" w:cs="Times New Roman" w:eastAsia="Times New Roman" w:hAnsi="Times New Roman"/>
          <w:sz w:val="18"/>
          <w:szCs w:val="18"/>
          <w:color w:val="auto"/>
        </w:rPr>
        <w:t>Our audit committee has adopted policies and procedures relating to the approval of all audit and non-audit services that are to be performed by our independent registered public accounting firm. This policy generally provides that we will not engage our independent registered public accounting firm to render audit or non-audit services unless the service is specifically approved in advance by our audit committee or the engagement is entered into pursuant to one of the pre-approval procedures described below.</w:t>
      </w:r>
    </w:p>
    <w:p>
      <w:pPr>
        <w:spacing w:after="0" w:line="72" w:lineRule="exact"/>
        <w:rPr>
          <w:sz w:val="20"/>
          <w:szCs w:val="20"/>
          <w:color w:val="auto"/>
        </w:rPr>
      </w:pPr>
    </w:p>
    <w:p>
      <w:pPr>
        <w:jc w:val="both"/>
        <w:ind w:firstLine="723"/>
        <w:spacing w:after="0" w:line="256"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However, in urgent cases, the audit committee chair may pre-approve audit and non-audit services (other than prohibited non-audit services), provided that the audit committee chair reports any pre-approval decisions to the audit committee at its next scheduled meeting. The audit committee does not delegate its responsibilities to pre-approve services performed by the independent registered accounting firm to management.</w:t>
      </w:r>
    </w:p>
    <w:p>
      <w:pPr>
        <w:spacing w:after="0" w:line="79" w:lineRule="exact"/>
        <w:rPr>
          <w:sz w:val="20"/>
          <w:szCs w:val="20"/>
          <w:color w:val="auto"/>
        </w:rPr>
      </w:pPr>
    </w:p>
    <w:p>
      <w:pPr>
        <w:jc w:val="both"/>
        <w:ind w:firstLine="723"/>
        <w:spacing w:after="0" w:line="281" w:lineRule="auto"/>
        <w:rPr>
          <w:sz w:val="20"/>
          <w:szCs w:val="20"/>
          <w:color w:val="auto"/>
        </w:rPr>
      </w:pPr>
      <w:r>
        <w:rPr>
          <w:rFonts w:ascii="Times New Roman" w:cs="Times New Roman" w:eastAsia="Times New Roman" w:hAnsi="Times New Roman"/>
          <w:sz w:val="18"/>
          <w:szCs w:val="18"/>
          <w:color w:val="auto"/>
        </w:rPr>
        <w:t>The audit committee has determined that the rendering of the services other than audit services currently being provided by KPMG LLP is compatible with maintaining the independent registered public accounting firm’s independence.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236220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981" w:right="7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231F20"/>
        </w:rPr>
        <w:t>Audit Committee Report</w:t>
      </w:r>
    </w:p>
    <w:p>
      <w:pPr>
        <w:spacing w:after="0" w:line="121" w:lineRule="exact"/>
        <w:rPr>
          <w:sz w:val="20"/>
          <w:szCs w:val="20"/>
          <w:color w:val="auto"/>
        </w:rPr>
      </w:pPr>
    </w:p>
    <w:p>
      <w:pPr>
        <w:jc w:val="both"/>
        <w:ind w:firstLine="723"/>
        <w:spacing w:after="0" w:line="256" w:lineRule="auto"/>
        <w:rPr>
          <w:sz w:val="20"/>
          <w:szCs w:val="20"/>
          <w:color w:val="auto"/>
        </w:rPr>
      </w:pPr>
      <w:r>
        <w:rPr>
          <w:rFonts w:ascii="Times New Roman" w:cs="Times New Roman" w:eastAsia="Times New Roman" w:hAnsi="Times New Roman"/>
          <w:sz w:val="18"/>
          <w:szCs w:val="18"/>
          <w:color w:val="auto"/>
        </w:rPr>
        <w:t>The audit committee has reviewed the Company’s audited financial statements for the fiscal year ended October 31, 2025 and has discussed these financial statements with the Company’s management and the Company’s independent registered public accounting firm, KPMG LLP (“KPMG”). Management is responsible for the preparation of the Company’s financial statements and for maintaining an adequate system of disclosure controls and procedures and internal control over financial reporting for that purpose. KPMG is responsible for conducting an independent audit of the Company’s annual financial statements in accordance with generally accepted auditing standards and issuing a report on the results of their audit. The audit committee is responsible for providing independent, objective oversight of these processes.</w:t>
      </w:r>
    </w:p>
    <w:p>
      <w:pPr>
        <w:spacing w:after="0" w:line="77" w:lineRule="exact"/>
        <w:rPr>
          <w:sz w:val="20"/>
          <w:szCs w:val="20"/>
          <w:color w:val="auto"/>
        </w:rPr>
      </w:pPr>
    </w:p>
    <w:p>
      <w:pPr>
        <w:jc w:val="both"/>
        <w:ind w:firstLine="723"/>
        <w:spacing w:after="0" w:line="284" w:lineRule="auto"/>
        <w:rPr>
          <w:sz w:val="20"/>
          <w:szCs w:val="20"/>
          <w:color w:val="auto"/>
        </w:rPr>
      </w:pPr>
      <w:r>
        <w:rPr>
          <w:rFonts w:ascii="Times New Roman" w:cs="Times New Roman" w:eastAsia="Times New Roman" w:hAnsi="Times New Roman"/>
          <w:sz w:val="18"/>
          <w:szCs w:val="18"/>
          <w:color w:val="auto"/>
        </w:rPr>
        <w:t xml:space="preserve">The audit committee has discussed with KPMG the matters required to be discussed by Auditing Standard No. 1301, </w:t>
      </w:r>
      <w:r>
        <w:rPr>
          <w:rFonts w:ascii="Times New Roman" w:cs="Times New Roman" w:eastAsia="Times New Roman" w:hAnsi="Times New Roman"/>
          <w:sz w:val="18"/>
          <w:szCs w:val="18"/>
          <w:i w:val="1"/>
          <w:iCs w:val="1"/>
          <w:color w:val="auto"/>
        </w:rPr>
        <w:t>Communications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Audit Committees</w:t>
      </w:r>
      <w:r>
        <w:rPr>
          <w:rFonts w:ascii="Times New Roman" w:cs="Times New Roman" w:eastAsia="Times New Roman" w:hAnsi="Times New Roman"/>
          <w:sz w:val="18"/>
          <w:szCs w:val="18"/>
          <w:color w:val="auto"/>
        </w:rPr>
        <w:t>, issued by the Public Company Accounting Oversight Board.</w:t>
      </w:r>
    </w:p>
    <w:p>
      <w:pPr>
        <w:spacing w:after="0" w:line="52" w:lineRule="exact"/>
        <w:rPr>
          <w:sz w:val="20"/>
          <w:szCs w:val="20"/>
          <w:color w:val="auto"/>
        </w:rPr>
      </w:pPr>
    </w:p>
    <w:p>
      <w:pPr>
        <w:jc w:val="both"/>
        <w:ind w:firstLine="723"/>
        <w:spacing w:after="0" w:line="282" w:lineRule="auto"/>
        <w:rPr>
          <w:sz w:val="20"/>
          <w:szCs w:val="20"/>
          <w:color w:val="auto"/>
        </w:rPr>
      </w:pPr>
      <w:r>
        <w:rPr>
          <w:rFonts w:ascii="Times New Roman" w:cs="Times New Roman" w:eastAsia="Times New Roman" w:hAnsi="Times New Roman"/>
          <w:sz w:val="18"/>
          <w:szCs w:val="18"/>
          <w:color w:val="auto"/>
        </w:rPr>
        <w:t>KPMG also provided the audit committee with written disclosures and a letter required by the applicable requirements of the Public Company Accounting Oversight Board regarding KPMG’s independence and the audit committee has discussed with KPMG its independence.</w:t>
      </w:r>
    </w:p>
    <w:p>
      <w:pPr>
        <w:spacing w:after="0" w:line="54" w:lineRule="exact"/>
        <w:rPr>
          <w:sz w:val="20"/>
          <w:szCs w:val="20"/>
          <w:color w:val="auto"/>
        </w:rPr>
      </w:pPr>
    </w:p>
    <w:p>
      <w:pPr>
        <w:jc w:val="both"/>
        <w:ind w:firstLine="723"/>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Company’s board of directors that the audited financial statements be included in the Company’s October 31, 2025 Annual Report.</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 the Audit Committee of the Board of Directors of OFS Credit Company, Inc.:</w:t>
      </w:r>
    </w:p>
    <w:p>
      <w:pPr>
        <w:spacing w:after="0" w:line="1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 xml:space="preserve">Kathleen M. Griggs, </w:t>
      </w:r>
      <w:r>
        <w:rPr>
          <w:rFonts w:ascii="Times New Roman" w:cs="Times New Roman" w:eastAsia="Times New Roman" w:hAnsi="Times New Roman"/>
          <w:sz w:val="18"/>
          <w:szCs w:val="18"/>
          <w:i w:val="1"/>
          <w:iCs w:val="1"/>
          <w:color w:val="231F20"/>
        </w:rPr>
        <w:t>Chair</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Kate M. Fitta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Romita Shetty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Required Vote</w:t>
      </w:r>
    </w:p>
    <w:p>
      <w:pPr>
        <w:spacing w:after="0" w:line="126" w:lineRule="exact"/>
        <w:rPr>
          <w:sz w:val="20"/>
          <w:szCs w:val="20"/>
          <w:color w:val="auto"/>
        </w:rPr>
      </w:pPr>
    </w:p>
    <w:p>
      <w:pPr>
        <w:jc w:val="both"/>
        <w:ind w:firstLine="723"/>
        <w:spacing w:after="0" w:line="258" w:lineRule="auto"/>
        <w:rPr>
          <w:sz w:val="20"/>
          <w:szCs w:val="20"/>
          <w:color w:val="auto"/>
        </w:rPr>
      </w:pPr>
      <w:r>
        <w:rPr>
          <w:rFonts w:ascii="Times New Roman" w:cs="Times New Roman" w:eastAsia="Times New Roman" w:hAnsi="Times New Roman"/>
          <w:sz w:val="18"/>
          <w:szCs w:val="18"/>
          <w:color w:val="231F20"/>
        </w:rPr>
        <w:t xml:space="preserve">The affirmative vote of the holders of a majority in voting power of the outstanding shares of Common Stock and Preferred Stock, voting together as a single class, represented at the Annual Meeting and voting on this proposal in person or by proxy is required to ratify the selection of KPMG LLP to serve as the Company’s independent registered public accounting firm for the fiscal year ending October 31, 2026, </w:t>
      </w:r>
      <w:r>
        <w:rPr>
          <w:rFonts w:ascii="Times New Roman" w:cs="Times New Roman" w:eastAsia="Times New Roman" w:hAnsi="Times New Roman"/>
          <w:sz w:val="18"/>
          <w:szCs w:val="18"/>
          <w:color w:val="000000"/>
        </w:rPr>
        <w:t>provided a quorum is present in person or by proxy</w:t>
      </w:r>
      <w:r>
        <w:rPr>
          <w:rFonts w:ascii="Times New Roman" w:cs="Times New Roman" w:eastAsia="Times New Roman" w:hAnsi="Times New Roman"/>
          <w:sz w:val="18"/>
          <w:szCs w:val="18"/>
          <w:color w:val="231F20"/>
        </w:rPr>
        <w:t>. Abstentions will not be included in determining the number of votes cast and, as a result,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will have no effect on the result of the vote.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SUBMISSION OF STOCKHOLDER PROPOSALS</w:t>
      </w:r>
    </w:p>
    <w:p>
      <w:pPr>
        <w:spacing w:after="0" w:line="121" w:lineRule="exact"/>
        <w:rPr>
          <w:sz w:val="20"/>
          <w:szCs w:val="20"/>
          <w:color w:val="auto"/>
        </w:rPr>
      </w:pPr>
    </w:p>
    <w:p>
      <w:pPr>
        <w:jc w:val="both"/>
        <w:ind w:firstLine="723"/>
        <w:spacing w:after="0" w:line="282" w:lineRule="auto"/>
        <w:rPr>
          <w:sz w:val="20"/>
          <w:szCs w:val="20"/>
          <w:color w:val="auto"/>
        </w:rPr>
      </w:pPr>
      <w:r>
        <w:rPr>
          <w:rFonts w:ascii="Times New Roman" w:cs="Times New Roman" w:eastAsia="Times New Roman" w:hAnsi="Times New Roman"/>
          <w:sz w:val="18"/>
          <w:szCs w:val="18"/>
          <w:color w:val="auto"/>
        </w:rPr>
        <w:t>In order to be included in the proxy materials for our 2027 annual meeting of stockholders pursuant to Rule 14a-8 under the Exchange Act, stockholders’ proposals must be received by us at our principal executive offices no later than March 2, 2027.</w:t>
      </w:r>
    </w:p>
    <w:p>
      <w:pPr>
        <w:spacing w:after="0" w:line="94" w:lineRule="exact"/>
        <w:rPr>
          <w:sz w:val="20"/>
          <w:szCs w:val="20"/>
          <w:color w:val="auto"/>
        </w:rPr>
      </w:pPr>
    </w:p>
    <w:p>
      <w:pPr>
        <w:jc w:val="both"/>
        <w:ind w:firstLine="723"/>
        <w:spacing w:after="0" w:line="241" w:lineRule="auto"/>
        <w:rPr>
          <w:sz w:val="20"/>
          <w:szCs w:val="20"/>
          <w:color w:val="auto"/>
        </w:rPr>
      </w:pPr>
      <w:r>
        <w:rPr>
          <w:rFonts w:ascii="Times New Roman" w:cs="Times New Roman" w:eastAsia="Times New Roman" w:hAnsi="Times New Roman"/>
          <w:sz w:val="18"/>
          <w:szCs w:val="18"/>
          <w:color w:val="231F20"/>
        </w:rPr>
        <w:t xml:space="preserve">Stockholder proposals or director nominations to be presented at the 2027 annual meeting of stockholders, other than stockholder proposals submitted pursuant to the Rule 14a-8 </w:t>
      </w:r>
      <w:r>
        <w:rPr>
          <w:rFonts w:ascii="Times New Roman" w:cs="Times New Roman" w:eastAsia="Times New Roman" w:hAnsi="Times New Roman"/>
          <w:sz w:val="18"/>
          <w:szCs w:val="18"/>
          <w:color w:val="000000"/>
        </w:rPr>
        <w:t>under the Exchange Act</w:t>
      </w:r>
      <w:r>
        <w:rPr>
          <w:rFonts w:ascii="Times New Roman" w:cs="Times New Roman" w:eastAsia="Times New Roman" w:hAnsi="Times New Roman"/>
          <w:sz w:val="18"/>
          <w:szCs w:val="18"/>
          <w:color w:val="231F20"/>
        </w:rPr>
        <w:t>, must be delivered to, or mailed and received at, the principal executive offices of the Company not less than ninety (90) days nor more than one hundred and twenty days (120) days in advance of the one year anniversary of the previous year’s annual meeting of stockholders. For the Company’s 2027 annual meeting of stockholders, the Company must receive such proposals and nominations no later than May 15, 2027 but not before April 15, 2027. If the date of the annual meeting has been changed by more than thirty (30) calendar days from the date contemplated at the time of the previous year’s proxy statement, stockholder proposals or director nominations must be so received not later than the later of the close of business on the ninetieth (90</w:t>
      </w:r>
      <w:r>
        <w:rPr>
          <w:rFonts w:ascii="Times New Roman" w:cs="Times New Roman" w:eastAsia="Times New Roman" w:hAnsi="Times New Roman"/>
          <w:sz w:val="24"/>
          <w:szCs w:val="24"/>
          <w:color w:val="231F20"/>
          <w:vertAlign w:val="superscript"/>
        </w:rPr>
        <w:t>th</w:t>
      </w:r>
      <w:r>
        <w:rPr>
          <w:rFonts w:ascii="Times New Roman" w:cs="Times New Roman" w:eastAsia="Times New Roman" w:hAnsi="Times New Roman"/>
          <w:sz w:val="18"/>
          <w:szCs w:val="18"/>
          <w:color w:val="231F20"/>
        </w:rPr>
        <w:t>) calendar day before the new meeting date or the tenth (10</w:t>
      </w:r>
      <w:r>
        <w:rPr>
          <w:rFonts w:ascii="Times New Roman" w:cs="Times New Roman" w:eastAsia="Times New Roman" w:hAnsi="Times New Roman"/>
          <w:sz w:val="24"/>
          <w:szCs w:val="24"/>
          <w:color w:val="231F20"/>
          <w:vertAlign w:val="superscript"/>
        </w:rPr>
        <w:t>th</w:t>
      </w:r>
      <w:r>
        <w:rPr>
          <w:rFonts w:ascii="Times New Roman" w:cs="Times New Roman" w:eastAsia="Times New Roman" w:hAnsi="Times New Roman"/>
          <w:sz w:val="18"/>
          <w:szCs w:val="18"/>
          <w:color w:val="231F20"/>
        </w:rPr>
        <w:t>) day following the day on which the date of the 2027 annual meeting of stockholders is first publicly announced or disclosed. Proposals must also comply with the other requirements contained in the Company’s bylaws, including supporting documentation and other information. Proxies solicited by the Company will confer discretionary voting authority with respect to these proposals, subject to SEC rules governing the exercise of this authority. Pursuant to Rule 14a-4 of the Exchange Act, discretionary authority will apply when a choice is not specified by the stockholder provided that the proxy states in bold-face type how it is intended to vote the shares.</w:t>
      </w:r>
    </w:p>
    <w:p>
      <w:pPr>
        <w:spacing w:after="0" w:line="121" w:lineRule="exact"/>
        <w:rPr>
          <w:sz w:val="20"/>
          <w:szCs w:val="20"/>
          <w:color w:val="auto"/>
        </w:rPr>
      </w:pPr>
    </w:p>
    <w:p>
      <w:pPr>
        <w:jc w:val="both"/>
        <w:ind w:firstLine="723"/>
        <w:spacing w:after="0" w:line="256" w:lineRule="auto"/>
        <w:rPr>
          <w:sz w:val="20"/>
          <w:szCs w:val="20"/>
          <w:color w:val="auto"/>
        </w:rPr>
      </w:pPr>
      <w:r>
        <w:rPr>
          <w:rFonts w:ascii="Times New Roman" w:cs="Times New Roman" w:eastAsia="Times New Roman" w:hAnsi="Times New Roman"/>
          <w:sz w:val="18"/>
          <w:szCs w:val="18"/>
          <w:color w:val="231F20"/>
        </w:rPr>
        <w:t>Pursuant to the Company’s bylaws, for a director nomination or other business to be considered for the next annual meeting of stockholders, notice must be provided in writing and delivered to the Corporate Secretary of the Company at the Company’s principal executive office by May 15, 2027 but not before April 15, 2027. Notices of intention to present proposals at the 2027 annual meeting of stockholders should be addressed to Tod K. Reichert, our Corporate Secretary, OFS Credit Company, Inc., 222 West Adams Street, Suite 1850, Chicago, Illinois 60606. We reserve the right to reject, rule out of order, or take other appropriate action with respect to any proposal that does not comply with these and other applicable requirements.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244475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873" w:right="7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ANNUAL MEETING MATERIALS</w:t>
      </w:r>
    </w:p>
    <w:p>
      <w:pPr>
        <w:spacing w:after="0" w:line="121" w:lineRule="exact"/>
        <w:rPr>
          <w:sz w:val="20"/>
          <w:szCs w:val="20"/>
          <w:color w:val="auto"/>
        </w:rPr>
      </w:pPr>
    </w:p>
    <w:p>
      <w:pPr>
        <w:jc w:val="both"/>
        <w:ind w:firstLine="723"/>
        <w:spacing w:after="0" w:line="255"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proxy statement and annual report to stockholders may have been sent to multiple stockholders in your household. We will promptly deliver a separate copy of either document to you upon written or oral request to OFS Credit Company, Inc., 222 West Adams Street, Suite 1850, Chicago, Illinois 60606, Attention: Tod K. Reichert, Corporate Secretary, telephone: (847) 734-2085. In the future, if you want to receive separate copies of the proxy statement or annual report to stockholders, or if you are receiving multiple copies and would like to receive only one copy per household, you should contact your bank, broker or other nominee record holder, or you may contact us at the above address and phone number.</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ind w:firstLine="723"/>
        <w:spacing w:after="0" w:line="266" w:lineRule="auto"/>
        <w:rPr>
          <w:sz w:val="20"/>
          <w:szCs w:val="20"/>
          <w:color w:val="auto"/>
        </w:rPr>
      </w:pPr>
      <w:r>
        <w:rPr>
          <w:rFonts w:ascii="Times New Roman" w:cs="Times New Roman" w:eastAsia="Times New Roman" w:hAnsi="Times New Roman"/>
          <w:sz w:val="18"/>
          <w:szCs w:val="18"/>
          <w:color w:val="auto"/>
        </w:rPr>
        <w:t>Our board of directors is not aware of any matter to be presented for action at the Annual Meeting other than the matters referred to above and does not intend to bring any other matters before the Annual Meeting. However, if other matters should properly come before the Annual Meeting, it is intended that holders of the proxies will vote thereon in their discretion.</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723"/>
        <w:spacing w:after="0" w:line="282" w:lineRule="auto"/>
        <w:rPr>
          <w:sz w:val="20"/>
          <w:szCs w:val="20"/>
          <w:color w:val="auto"/>
        </w:rPr>
      </w:pPr>
      <w:r>
        <w:rPr>
          <w:rFonts w:ascii="Times New Roman" w:cs="Times New Roman" w:eastAsia="Times New Roman" w:hAnsi="Times New Roman"/>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50" w:lineRule="exact"/>
        <w:rPr>
          <w:sz w:val="20"/>
          <w:szCs w:val="20"/>
          <w:color w:val="auto"/>
        </w:rPr>
      </w:pPr>
    </w:p>
    <w:p>
      <w:pPr>
        <w:jc w:val="both"/>
        <w:ind w:firstLine="723"/>
        <w:spacing w:after="0" w:line="257" w:lineRule="auto"/>
        <w:rPr>
          <w:sz w:val="20"/>
          <w:szCs w:val="20"/>
          <w:color w:val="auto"/>
        </w:rPr>
      </w:pPr>
      <w:r>
        <w:rPr>
          <w:rFonts w:ascii="Times New Roman" w:cs="Times New Roman" w:eastAsia="Times New Roman" w:hAnsi="Times New Roman"/>
          <w:sz w:val="18"/>
          <w:szCs w:val="18"/>
          <w:b w:val="1"/>
          <w:bCs w:val="1"/>
          <w:color w:val="auto"/>
        </w:rPr>
        <w:t>WE WILL FURNISH, WITHOUT CHARGE, A COPY OF OUR ANNUAL REPORT ON FORM N-CSR FOR THE FISCAL YEAR ENDED OCTOBER 31, 2025 OR OUR SEMI-ANNUAL REPORT ON FORM N-CSR FOR THE SIX-MONTH PERIOD ENDED APRIL 30, 2026, BUT NOT INCLUDING EXHIBITS, TO EACH OF OUR STOCKHOLDERS OF RECORD ON JUNE 18, 2026, AND TO EACH BENEFICIAL STOCKHOLDER ON THAT DATE UPON WRITTEN REQUEST MADE TO TOD K. REICHERT, CORPORATE SECRETARY, OFS CREDIT COMPANY, INC., 222 WEST ADAMS STREET, SUITE 1850, CHICAGO, ILLINOIS 60606. A REASONABLE FEE WILL BE CHARGED FOR COPIES OF REQUESTED EXHIBITS.</w:t>
      </w:r>
    </w:p>
    <w:p>
      <w:pPr>
        <w:spacing w:after="0" w:line="74" w:lineRule="exact"/>
        <w:rPr>
          <w:sz w:val="20"/>
          <w:szCs w:val="20"/>
          <w:color w:val="auto"/>
        </w:rPr>
      </w:pPr>
    </w:p>
    <w:p>
      <w:pPr>
        <w:jc w:val="both"/>
        <w:ind w:firstLine="723"/>
        <w:spacing w:after="0" w:line="268" w:lineRule="auto"/>
        <w:rPr>
          <w:sz w:val="20"/>
          <w:szCs w:val="20"/>
          <w:color w:val="auto"/>
        </w:rPr>
      </w:pPr>
      <w:r>
        <w:rPr>
          <w:rFonts w:ascii="Times New Roman" w:cs="Times New Roman" w:eastAsia="Times New Roman" w:hAnsi="Times New Roman"/>
          <w:sz w:val="18"/>
          <w:szCs w:val="18"/>
          <w:b w:val="1"/>
          <w:bCs w:val="1"/>
          <w:color w:val="auto"/>
        </w:rPr>
        <w:t>PLEASE VOTE YOUR SHARES OVER THE INTERNET OR BY TELEPHONE AS PROVIDED IN THE INSTRUCTIONS SET FORTH ON THE ENCLOSED PROXY CARDS, OR COMPLETE, DATE, SIGN AND RETURN THE APPLICABLE PROXY CARD AT YOUR EARLIEST CONVENIENCE IN THE ENCLOSED POSTAGE-PAID ENVELOPE.</w:t>
      </w:r>
    </w:p>
    <w:p>
      <w:pPr>
        <w:spacing w:after="0" w:line="39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1186815</wp:posOffset>
            </wp:positionH>
            <wp:positionV relativeFrom="paragraph">
              <wp:posOffset>85725</wp:posOffset>
            </wp:positionV>
            <wp:extent cx="2065655" cy="3771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6565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Tod K. Reichert</w:t>
      </w:r>
    </w:p>
    <w:p>
      <w:pPr>
        <w:spacing w:after="0" w:line="2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June 30, 2026</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236220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873" w:right="71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PRIVACY NOTICE</w:t>
      </w:r>
    </w:p>
    <w:p>
      <w:pPr>
        <w:spacing w:after="0" w:line="3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Your privacy is very important to us. This Privacy Notice sets forth OFS Credit Company, Inc.’s (“OCCI”, “our,” “we,” or “the Company”) policies with respect to non-public personal information provided to us. These policies apply to stockholders of the Company and may be changed at any time, provided a notice of such change is given to you. This notice replaces all previous statements of our privacy policy. Please read this Privacy Notice as it provides important information regarding our privacy practices and an explanation of your rights. If you do not agree with this Privacy Notice, please do not provide us with personal information.</w:t>
      </w:r>
    </w:p>
    <w:p>
      <w:pPr>
        <w:spacing w:after="0" w:line="71"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b w:val="1"/>
          <w:bCs w:val="1"/>
          <w:color w:val="333333"/>
        </w:rPr>
      </w:pPr>
      <w:r>
        <w:rPr>
          <w:rFonts w:ascii="Times New Roman" w:cs="Times New Roman" w:eastAsia="Times New Roman" w:hAnsi="Times New Roman"/>
          <w:sz w:val="18"/>
          <w:szCs w:val="18"/>
          <w:b w:val="1"/>
          <w:bCs w:val="1"/>
          <w:color w:val="auto"/>
        </w:rPr>
        <w:t>What Personal Information We Collect</w:t>
      </w:r>
    </w:p>
    <w:p>
      <w:pPr>
        <w:spacing w:after="0" w:line="31"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You may provide us with non-public personal information, such as your name, address, e-mail address, social security and/or tax identification number, date of birth, assets and/or income information: (i) in a trading confirmation or other related account or transaction documentation; (ii) in correspondence and conversations with us and our representatives; and (iii) through transactions with the Company.</w:t>
      </w:r>
    </w:p>
    <w:p>
      <w:pPr>
        <w:spacing w:after="0" w:line="186"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Whether you choose to provide any particular information requested by the Company is completely your own choice, but if you choose not to provide the information we request, you may be unable to receive or access certain services, offers and information.</w:t>
      </w:r>
    </w:p>
    <w:p>
      <w:pPr>
        <w:spacing w:after="0" w:line="50"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b w:val="1"/>
          <w:bCs w:val="1"/>
          <w:color w:val="333333"/>
        </w:rPr>
      </w:pPr>
      <w:r>
        <w:rPr>
          <w:rFonts w:ascii="Times New Roman" w:cs="Times New Roman" w:eastAsia="Times New Roman" w:hAnsi="Times New Roman"/>
          <w:sz w:val="18"/>
          <w:szCs w:val="18"/>
          <w:b w:val="1"/>
          <w:bCs w:val="1"/>
          <w:color w:val="auto"/>
        </w:rPr>
        <w:t>Where Do We Obtain Your Personal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collect, and may have collected, information about you from a number of sources, including from you directly or from external 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Sources from which we may collect your information directly include:</w:t>
      </w:r>
    </w:p>
    <w:p>
      <w:pPr>
        <w:spacing w:after="0" w:line="117" w:lineRule="exact"/>
        <w:rPr>
          <w:sz w:val="20"/>
          <w:szCs w:val="20"/>
          <w:color w:val="auto"/>
        </w:rPr>
      </w:pPr>
    </w:p>
    <w:p>
      <w:pPr>
        <w:ind w:left="840" w:hanging="368"/>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that you completed when you subscribed for an investment;</w:t>
      </w:r>
    </w:p>
    <w:p>
      <w:pPr>
        <w:spacing w:after="0" w:line="27"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correspondence and conversations with us;</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you have made or will make with us;</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purchase of securities from us, including information regarding where to send money; and</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or other electronic network activity – such as a consumer’s interaction with an internet website, application, or advertisement.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External sources from which we may collect your information include:</w:t>
      </w:r>
    </w:p>
    <w:p>
      <w:pPr>
        <w:spacing w:after="0" w:line="117" w:lineRule="exact"/>
        <w:rPr>
          <w:sz w:val="20"/>
          <w:szCs w:val="20"/>
          <w:color w:val="auto"/>
        </w:rPr>
      </w:pPr>
    </w:p>
    <w:p>
      <w:pPr>
        <w:ind w:left="840" w:hanging="368"/>
        <w:spacing w:after="0"/>
        <w:tabs>
          <w:tab w:leader="none" w:pos="8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available and accessible directories and sources;</w:t>
      </w:r>
    </w:p>
    <w:p>
      <w:pPr>
        <w:spacing w:after="0" w:line="27"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authorities, including those that are based outside the jurisdiction where you are located if you are subject to tax in another jurisdiction;</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and competent regulatory authorities to whom we have regulatory obligations;</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agencies; and</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prevention and detection agencies and organizations.</w:t>
      </w:r>
    </w:p>
    <w:p>
      <w:pPr>
        <w:spacing w:after="0" w:line="9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b w:val="1"/>
          <w:bCs w:val="1"/>
          <w:color w:val="333333"/>
        </w:rPr>
      </w:pPr>
      <w:r>
        <w:rPr>
          <w:rFonts w:ascii="Times New Roman" w:cs="Times New Roman" w:eastAsia="Times New Roman" w:hAnsi="Times New Roman"/>
          <w:sz w:val="18"/>
          <w:szCs w:val="18"/>
          <w:b w:val="1"/>
          <w:bCs w:val="1"/>
          <w:color w:val="auto"/>
        </w:rPr>
        <w:t>Why Do We Collect Your Personal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collect your personal information for the following purposes:</w:t>
      </w:r>
    </w:p>
    <w:p>
      <w:pPr>
        <w:spacing w:after="0" w:line="117" w:lineRule="exact"/>
        <w:rPr>
          <w:sz w:val="20"/>
          <w:szCs w:val="20"/>
          <w:color w:val="auto"/>
        </w:rPr>
      </w:pPr>
    </w:p>
    <w:p>
      <w:pPr>
        <w:ind w:left="1000" w:hanging="37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administer, manage and set up your investment, and any related accounts on an ongoing basis;</w:t>
      </w:r>
    </w:p>
    <w:p>
      <w:pPr>
        <w:spacing w:after="0" w:line="2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the transfer of funds and administer any other transaction with you;</w:t>
      </w:r>
    </w:p>
    <w:p>
      <w:pPr>
        <w:spacing w:after="0" w:line="9"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open, maintain or close accounts in connection with your subscription or redemption;</w:t>
      </w:r>
    </w:p>
    <w:p>
      <w:pPr>
        <w:spacing w:after="0" w:line="9" w:lineRule="exact"/>
        <w:rPr>
          <w:rFonts w:ascii="Times New Roman" w:cs="Times New Roman" w:eastAsia="Times New Roman" w:hAnsi="Times New Roman"/>
          <w:sz w:val="18"/>
          <w:szCs w:val="18"/>
          <w:color w:val="auto"/>
        </w:rPr>
      </w:pPr>
    </w:p>
    <w:p>
      <w:pPr>
        <w:ind w:left="980" w:hanging="359"/>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send updates, information and notices or otherwise correspond with you in connection with your investment;</w:t>
      </w:r>
    </w:p>
    <w:p>
      <w:pPr>
        <w:spacing w:after="0" w:line="9"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verify the identity and addresses of our investors (and, if applicable, their beneficial owners);</w:t>
      </w:r>
    </w:p>
    <w:p>
      <w:pPr>
        <w:spacing w:after="0" w:line="9"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requests from regulatory, governmental, tax and law enforcement authorities;</w:t>
      </w:r>
    </w:p>
    <w:p>
      <w:pPr>
        <w:spacing w:after="0" w:line="9"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applicable regulatory, accounting, tax and audit requirements;</w:t>
      </w:r>
    </w:p>
    <w:p>
      <w:pPr>
        <w:spacing w:after="0" w:line="9"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surveillance and investigation;</w:t>
      </w:r>
    </w:p>
    <w:p>
      <w:pPr>
        <w:spacing w:after="0" w:line="9"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statutory registers;</w:t>
      </w:r>
    </w:p>
    <w:p>
      <w:pPr>
        <w:spacing w:after="0" w:line="9"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U.S. Office of Foreign Assets Control list and other governmental sanctions lists;</w:t>
      </w:r>
    </w:p>
    <w:p>
      <w:pPr>
        <w:spacing w:after="0" w:line="9"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address or investigate any complaints, claims, proceedings or disputes;</w:t>
      </w:r>
    </w:p>
    <w:p>
      <w:pPr>
        <w:spacing w:after="0" w:line="22"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you with, and inform you about, our investment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9" w:name="page30"/>
    <w:bookmarkEnd w:id="29"/>
    <w:p>
      <w:pPr>
        <w:ind w:left="1000" w:hanging="37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send direct marketing communications to you;</w:t>
      </w:r>
    </w:p>
    <w:p>
      <w:pPr>
        <w:spacing w:after="0" w:line="2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assist with internal compliance with our policies and process;</w:t>
      </w:r>
    </w:p>
    <w:p>
      <w:pPr>
        <w:spacing w:after="0" w:line="9" w:lineRule="exact"/>
        <w:rPr>
          <w:rFonts w:ascii="Times New Roman" w:cs="Times New Roman" w:eastAsia="Times New Roman" w:hAnsi="Times New Roman"/>
          <w:sz w:val="18"/>
          <w:szCs w:val="18"/>
          <w:color w:val="auto"/>
        </w:rPr>
      </w:pPr>
    </w:p>
    <w:p>
      <w:pPr>
        <w:ind w:left="960" w:right="880" w:hanging="339"/>
        <w:spacing w:after="0" w:line="250"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protect our business against fraud, breach of confidence, theft of proprietary materials and other financial or business crimes (to the extent that this is not required of us by law);</w:t>
      </w:r>
    </w:p>
    <w:p>
      <w:pPr>
        <w:ind w:left="1000" w:hanging="37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monitor and improve our relationships with investors;</w:t>
      </w:r>
    </w:p>
    <w:p>
      <w:pPr>
        <w:spacing w:after="0" w:line="9"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appropriate group management and governance;</w:t>
      </w:r>
    </w:p>
    <w:p>
      <w:pPr>
        <w:spacing w:after="0" w:line="9"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keep our internal records;</w:t>
      </w:r>
    </w:p>
    <w:p>
      <w:pPr>
        <w:spacing w:after="0" w:line="9"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reports on incidents / accidents;</w:t>
      </w:r>
    </w:p>
    <w:p>
      <w:pPr>
        <w:spacing w:after="0" w:line="9"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analyze and manage commercial risks and operations;</w:t>
      </w:r>
    </w:p>
    <w:p>
      <w:pPr>
        <w:spacing w:after="0" w:line="9"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seek professional advice, including legal advice;</w:t>
      </w:r>
    </w:p>
    <w:p>
      <w:pPr>
        <w:spacing w:after="0" w:line="9" w:lineRule="exact"/>
        <w:rPr>
          <w:rFonts w:ascii="Times New Roman" w:cs="Times New Roman" w:eastAsia="Times New Roman" w:hAnsi="Times New Roman"/>
          <w:sz w:val="18"/>
          <w:szCs w:val="18"/>
          <w:color w:val="auto"/>
        </w:rPr>
      </w:pPr>
    </w:p>
    <w:p>
      <w:pPr>
        <w:ind w:left="1000" w:right="160" w:hanging="379"/>
        <w:spacing w:after="0" w:line="250"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enable any actual or proposed assignee or transferee, participant or sub-participant of our rights or obligations to evaluate proposed transactions;</w:t>
      </w:r>
    </w:p>
    <w:p>
      <w:pPr>
        <w:ind w:left="1000" w:hanging="37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business asset transactions involving the Company or related investment vehicles;</w:t>
      </w:r>
    </w:p>
    <w:p>
      <w:pPr>
        <w:spacing w:after="0" w:line="9"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monitor communications to/from us using our systems; and</w:t>
      </w:r>
    </w:p>
    <w:p>
      <w:pPr>
        <w:spacing w:after="0" w:line="9"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protect the security and integrity of our IT systems.</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only rely on these interests where we have considered that, on balance, our legitimate interests are not overridden by your interests, fundamental rights or freedoms.</w:t>
      </w:r>
    </w:p>
    <w:p>
      <w:pPr>
        <w:spacing w:after="0" w:line="50" w:lineRule="exact"/>
        <w:rPr>
          <w:sz w:val="20"/>
          <w:szCs w:val="20"/>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b w:val="1"/>
          <w:bCs w:val="1"/>
          <w:color w:val="333333"/>
        </w:rPr>
      </w:pPr>
      <w:r>
        <w:rPr>
          <w:rFonts w:ascii="Times New Roman" w:cs="Times New Roman" w:eastAsia="Times New Roman" w:hAnsi="Times New Roman"/>
          <w:sz w:val="18"/>
          <w:szCs w:val="18"/>
          <w:b w:val="1"/>
          <w:bCs w:val="1"/>
          <w:color w:val="auto"/>
        </w:rPr>
        <w:t>How We Share Information We Collect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share any of the non-public personal information collected from our stockholders, or prospective or former stockholders with our affiliates, such as our investment adviser, and to certain service providers such as our accountants, attorneys, auditors, transfer agents and brokers, in each case for our everyday business purposes, such as to facilitate the acceptance and management of your investment or account or as otherwise permitted by applicable law. We may also disclose the information we collect:</w:t>
      </w:r>
    </w:p>
    <w:p>
      <w:pPr>
        <w:spacing w:after="0" w:line="56" w:lineRule="exact"/>
        <w:rPr>
          <w:sz w:val="20"/>
          <w:szCs w:val="20"/>
          <w:color w:val="auto"/>
        </w:rPr>
      </w:pPr>
    </w:p>
    <w:p>
      <w:pPr>
        <w:ind w:left="1040" w:right="340" w:hanging="373"/>
        <w:spacing w:after="0" w:line="284"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 Authorized – </w:t>
      </w:r>
      <w:r>
        <w:rPr>
          <w:rFonts w:ascii="Times New Roman" w:cs="Times New Roman" w:eastAsia="Times New Roman" w:hAnsi="Times New Roman"/>
          <w:sz w:val="18"/>
          <w:szCs w:val="18"/>
          <w:color w:val="auto"/>
        </w:rPr>
        <w:t>if you request or authorize disclosure of the information, in each case in accordance with the agreements governing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w:t>
      </w:r>
    </w:p>
    <w:p>
      <w:pPr>
        <w:spacing w:after="0" w:line="63" w:lineRule="exact"/>
        <w:rPr>
          <w:rFonts w:ascii="Times New Roman" w:cs="Times New Roman" w:eastAsia="Times New Roman" w:hAnsi="Times New Roman"/>
          <w:sz w:val="18"/>
          <w:szCs w:val="18"/>
          <w:color w:val="auto"/>
        </w:rPr>
      </w:pPr>
    </w:p>
    <w:p>
      <w:pPr>
        <w:ind w:left="1060" w:right="860" w:hanging="378"/>
        <w:spacing w:after="0" w:line="284" w:lineRule="auto"/>
        <w:tabs>
          <w:tab w:leader="none" w:pos="10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 required by law – </w:t>
      </w:r>
      <w:r>
        <w:rPr>
          <w:rFonts w:ascii="Times New Roman" w:cs="Times New Roman" w:eastAsia="Times New Roman" w:hAnsi="Times New Roman"/>
          <w:sz w:val="18"/>
          <w:szCs w:val="18"/>
          <w:color w:val="auto"/>
        </w:rPr>
        <w:t>for example, to cooperate with any government regulators, self-regulatory organizations or law enforcement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authorities.</w:t>
      </w:r>
    </w:p>
    <w:p>
      <w:pPr>
        <w:spacing w:after="0" w:line="50" w:lineRule="exact"/>
        <w:rPr>
          <w:rFonts w:ascii="Times New Roman" w:cs="Times New Roman" w:eastAsia="Times New Roman" w:hAnsi="Times New Roman"/>
          <w:sz w:val="18"/>
          <w:szCs w:val="18"/>
          <w:color w:val="auto"/>
        </w:rPr>
      </w:pPr>
    </w:p>
    <w:p>
      <w:pPr>
        <w:jc w:val="both"/>
        <w:ind w:left="1040" w:right="280" w:hanging="358"/>
        <w:spacing w:after="0" w:line="258" w:lineRule="auto"/>
        <w:tabs>
          <w:tab w:leader="none" w:pos="10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 otherwise permitted by law </w:t>
      </w:r>
      <w:r>
        <w:rPr>
          <w:rFonts w:ascii="Times New Roman" w:cs="Times New Roman" w:eastAsia="Times New Roman" w:hAnsi="Times New Roman"/>
          <w:sz w:val="18"/>
          <w:szCs w:val="18"/>
          <w:color w:val="auto"/>
        </w:rPr>
        <w:t>– for example, (i) to service providers who maintain, process or service the Company; (ii)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making, management or disposition of any fund investment; (iii) as otherwise necessary to effect, administer or enforce investment or fund transactions; or (iv) in connection with a sale or other transfer of the Company. We may also share information with attorneys, accountants, other service providers and with persons otherwise acting in a representative or fiduciary capacity on behalf of investors or the fund.</w:t>
      </w:r>
    </w:p>
    <w:p>
      <w:pPr>
        <w:spacing w:after="0" w:line="75" w:lineRule="exact"/>
        <w:rPr>
          <w:rFonts w:ascii="Times New Roman" w:cs="Times New Roman" w:eastAsia="Times New Roman" w:hAnsi="Times New Roman"/>
          <w:sz w:val="18"/>
          <w:szCs w:val="18"/>
          <w:color w:val="auto"/>
        </w:rPr>
      </w:pPr>
    </w:p>
    <w:p>
      <w:pPr>
        <w:ind w:left="1040" w:hanging="358"/>
        <w:spacing w:after="0"/>
        <w:tabs>
          <w:tab w:leader="none" w:pos="10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 service providers </w:t>
      </w:r>
      <w:r>
        <w:rPr>
          <w:rFonts w:ascii="Times New Roman" w:cs="Times New Roman" w:eastAsia="Times New Roman" w:hAnsi="Times New Roman"/>
          <w:sz w:val="18"/>
          <w:szCs w:val="18"/>
          <w:color w:val="auto"/>
        </w:rPr>
        <w:t>– we may share information with service providers that perform marketing services on our behalf.</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and will not, sell personal data to third parties.</w:t>
      </w:r>
    </w:p>
    <w:p>
      <w:pPr>
        <w:spacing w:after="0" w:line="221" w:lineRule="exact"/>
        <w:rPr>
          <w:sz w:val="20"/>
          <w:szCs w:val="20"/>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b w:val="1"/>
          <w:bCs w:val="1"/>
          <w:color w:val="333333"/>
        </w:rPr>
      </w:pPr>
      <w:r>
        <w:rPr>
          <w:rFonts w:ascii="Times New Roman" w:cs="Times New Roman" w:eastAsia="Times New Roman" w:hAnsi="Times New Roman"/>
          <w:sz w:val="18"/>
          <w:szCs w:val="18"/>
          <w:b w:val="1"/>
          <w:bCs w:val="1"/>
          <w:color w:val="auto"/>
        </w:rPr>
        <w:t>Retention</w:t>
      </w:r>
    </w:p>
    <w:p>
      <w:pPr>
        <w:spacing w:after="0" w:line="121"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343741"/>
        </w:rPr>
        <w:t>We keep your personal information for as long as it is required by us for our legitimate business purposes, to perform our contractual obligations, to comply with regulatory requirements, in connection with any investment you are involved in, and in accordance with our data retention schedule. We may retain your personal information for a longer period if doing so is necessary to comply with our legal or reporting obligations, or as otherwise permitted or required by law. We may also retain your personal information in a deidentified or aggregated form so that it can no longer be associated with you. To determine the appropriate retention period for your personal information, we consider various factors, such as the amount, nature, and sensitivity of your information; the potential risk of unauthorized access, use or disclosure; the purposes for which we collect or process your personal information; and applicable legal requirements.</w:t>
      </w:r>
    </w:p>
    <w:p>
      <w:pPr>
        <w:spacing w:after="0" w:line="195" w:lineRule="exact"/>
        <w:rPr>
          <w:sz w:val="20"/>
          <w:szCs w:val="20"/>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b w:val="1"/>
          <w:bCs w:val="1"/>
          <w:color w:val="333333"/>
        </w:rPr>
      </w:pPr>
      <w:r>
        <w:rPr>
          <w:rFonts w:ascii="Times New Roman" w:cs="Times New Roman" w:eastAsia="Times New Roman" w:hAnsi="Times New Roman"/>
          <w:sz w:val="18"/>
          <w:szCs w:val="18"/>
          <w:b w:val="1"/>
          <w:bCs w:val="1"/>
          <w:color w:val="auto"/>
        </w:rPr>
        <w:t>Personal Data from Minors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do not offer financial services and products to minors and do not knowingly collect or sell the personal information of minors. We follow all local legal requirements with respect to the collection and processing of a minor’s personal information.</w:t>
      </w: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0" w:name="page31"/>
    <w:bookmarkEnd w:id="30"/>
    <w:p>
      <w:pPr>
        <w:ind w:left="380" w:hanging="372"/>
        <w:spacing w:after="0"/>
        <w:tabs>
          <w:tab w:leader="none" w:pos="380" w:val="left"/>
        </w:tabs>
        <w:numPr>
          <w:ilvl w:val="0"/>
          <w:numId w:val="34"/>
        </w:numPr>
        <w:rPr>
          <w:rFonts w:ascii="Times New Roman" w:cs="Times New Roman" w:eastAsia="Times New Roman" w:hAnsi="Times New Roman"/>
          <w:sz w:val="18"/>
          <w:szCs w:val="18"/>
          <w:b w:val="1"/>
          <w:bCs w:val="1"/>
          <w:color w:val="333333"/>
        </w:rPr>
      </w:pPr>
      <w:r>
        <w:rPr>
          <w:rFonts w:ascii="Times New Roman" w:cs="Times New Roman" w:eastAsia="Times New Roman" w:hAnsi="Times New Roman"/>
          <w:sz w:val="18"/>
          <w:szCs w:val="18"/>
          <w:b w:val="1"/>
          <w:bCs w:val="1"/>
          <w:color w:val="auto"/>
        </w:rPr>
        <w:t>Consent and Our Right To Withdraw It</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We do not generally rely on obtaining your consent to process your personal data. If we do, you have the right to withdraw this consent at any time. Please contact us at 1-833-687-3622 or send us an e-mail at </w:t>
      </w:r>
      <w:r>
        <w:rPr>
          <w:rFonts w:ascii="Times New Roman" w:cs="Times New Roman" w:eastAsia="Times New Roman" w:hAnsi="Times New Roman"/>
          <w:sz w:val="18"/>
          <w:szCs w:val="18"/>
          <w:u w:val="single" w:color="auto"/>
          <w:color w:val="0562C1"/>
        </w:rPr>
        <w:t>privacy@ofsmanagement.com</w:t>
      </w:r>
      <w:r>
        <w:rPr>
          <w:rFonts w:ascii="Times New Roman" w:cs="Times New Roman" w:eastAsia="Times New Roman" w:hAnsi="Times New Roman"/>
          <w:sz w:val="18"/>
          <w:szCs w:val="18"/>
          <w:color w:val="auto"/>
        </w:rPr>
        <w:t xml:space="preserve"> at any time if you wish to do so.</w:t>
      </w:r>
    </w:p>
    <w:p>
      <w:pPr>
        <w:spacing w:after="0" w:line="171" w:lineRule="exact"/>
        <w:rPr>
          <w:sz w:val="20"/>
          <w:szCs w:val="20"/>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b w:val="1"/>
          <w:bCs w:val="1"/>
          <w:color w:val="333333"/>
        </w:rPr>
      </w:pPr>
      <w:r>
        <w:rPr>
          <w:rFonts w:ascii="Times New Roman" w:cs="Times New Roman" w:eastAsia="Times New Roman" w:hAnsi="Times New Roman"/>
          <w:sz w:val="18"/>
          <w:szCs w:val="18"/>
          <w:b w:val="1"/>
          <w:bCs w:val="1"/>
          <w:color w:val="auto"/>
        </w:rPr>
        <w:t>Feedback, Concerns or Queries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take your feedback and concerns very seriously. We encourage you to bring to our attention any feedback or concerns you may have about our processing your personal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Privacy Notice was drafted with simplicity and clarity in mind. We are, of course, happy to provide any further information or explanation needed.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contact us at 1-833-687-3622 or send us an e-mail at </w:t>
      </w:r>
      <w:r>
        <w:rPr>
          <w:rFonts w:ascii="Times New Roman" w:cs="Times New Roman" w:eastAsia="Times New Roman" w:hAnsi="Times New Roman"/>
          <w:sz w:val="18"/>
          <w:szCs w:val="18"/>
          <w:u w:val="single" w:color="auto"/>
          <w:color w:val="0563C1"/>
        </w:rPr>
        <w:t>privacy@ofsmanagement.com</w:t>
      </w:r>
      <w:r>
        <w:rPr>
          <w:rFonts w:ascii="Times New Roman" w:cs="Times New Roman" w:eastAsia="Times New Roman" w:hAnsi="Times New Roman"/>
          <w:sz w:val="18"/>
          <w:szCs w:val="18"/>
          <w:color w:val="auto"/>
        </w:rPr>
        <w:t xml:space="preserve"> at any time for further information.</w:t>
      </w:r>
    </w:p>
    <w:p>
      <w:pPr>
        <w:spacing w:after="0" w:line="235" w:lineRule="exact"/>
        <w:rPr>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18"/>
          <w:szCs w:val="18"/>
          <w:b w:val="1"/>
          <w:bCs w:val="1"/>
          <w:color w:val="333333"/>
        </w:rPr>
      </w:pPr>
      <w:r>
        <w:rPr>
          <w:rFonts w:ascii="Times New Roman" w:cs="Times New Roman" w:eastAsia="Times New Roman" w:hAnsi="Times New Roman"/>
          <w:sz w:val="18"/>
          <w:szCs w:val="18"/>
          <w:b w:val="1"/>
          <w:bCs w:val="1"/>
          <w:color w:val="auto"/>
        </w:rPr>
        <w:t>Protecting Your Personal Information</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Except as permitted by law, we require all non-affiliated third-party service providers to whom we disclose non-public personal information about our customers to enter into confidentiality agreements with us.</w:t>
      </w:r>
    </w:p>
    <w:p>
      <w:pPr>
        <w:spacing w:after="0" w:line="162"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We implement and maintain reasonable security appropriate to the nature of the personal information that we collect, use, retain, transfer or otherwise process, and will take reasonable steps to protect your personal data against loss or theft, as well as from unauthorized access, disclosure, copying, use or modification, regardless of the format in which it is held. While we are committed to developing, implementing, maintaining, monitoring and updating a reasonable information security program, unfortunately, no data transmission over the Internet or any wireless network can be guaranteed to be 100% secure. Data security incidents and breaches can occur due to vulnerabilities, criminal exploits or other factors that cannot reasonably be prevented. Accordingly, while our reasonable security program is designed to manage data security risks and thus help prevent data security incidents and breaches, it cannot be assumed that the occurrence of any given incident or breach results from our failure to implement and maintain reasonable security. As a result, while we strive to protect your personal information, you acknowledge that: (i) there are security and privacy limitations of the Internet which are beyond our control; (ii) the security, integrity, and privacy of any and all information and data exchanged between you and us through the website cannot be guaranteed; and (iii) any such information and data may be viewed or tampered with in transit by a third party.</w:t>
      </w:r>
    </w:p>
    <w:p>
      <w:pPr>
        <w:spacing w:after="0" w:line="194"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 xml:space="preserve">If you have any questions regarding this Privacy Notice or the treatment of your non-public personal information, </w:t>
      </w:r>
      <w:r>
        <w:rPr>
          <w:rFonts w:ascii="Times New Roman" w:cs="Times New Roman" w:eastAsia="Times New Roman" w:hAnsi="Times New Roman"/>
          <w:sz w:val="18"/>
          <w:szCs w:val="18"/>
          <w:color w:val="343741"/>
        </w:rPr>
        <w:t>please feel free to e-mail us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562C1"/>
        </w:rPr>
        <w:t>privacy@ofsmanagement.com</w:t>
      </w:r>
      <w:r>
        <w:rPr>
          <w:rFonts w:ascii="Times New Roman" w:cs="Times New Roman" w:eastAsia="Times New Roman" w:hAnsi="Times New Roman"/>
          <w:sz w:val="18"/>
          <w:szCs w:val="18"/>
          <w:color w:val="0562C1"/>
        </w:rPr>
        <w:t xml:space="preserve">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0562C1"/>
        </w:rPr>
        <w:t xml:space="preserve"> </w:t>
      </w:r>
      <w:r>
        <w:rPr>
          <w:rFonts w:ascii="Times New Roman" w:cs="Times New Roman" w:eastAsia="Times New Roman" w:hAnsi="Times New Roman"/>
          <w:sz w:val="18"/>
          <w:szCs w:val="18"/>
          <w:color w:val="343741"/>
        </w:rPr>
        <w:t>contact us at 1-833-687-3622.</w:t>
      </w:r>
    </w:p>
    <w:p>
      <w:pPr>
        <w:spacing w:after="0" w:line="171" w:lineRule="exact"/>
        <w:rPr>
          <w:sz w:val="20"/>
          <w:szCs w:val="20"/>
          <w:color w:val="auto"/>
        </w:rPr>
      </w:pPr>
    </w:p>
    <w:p>
      <w:pPr>
        <w:ind w:left="380" w:hanging="372"/>
        <w:spacing w:after="0"/>
        <w:tabs>
          <w:tab w:leader="none" w:pos="380" w:val="left"/>
        </w:tabs>
        <w:numPr>
          <w:ilvl w:val="0"/>
          <w:numId w:val="37"/>
        </w:numPr>
        <w:rPr>
          <w:rFonts w:ascii="Times New Roman" w:cs="Times New Roman" w:eastAsia="Times New Roman" w:hAnsi="Times New Roman"/>
          <w:sz w:val="18"/>
          <w:szCs w:val="18"/>
          <w:b w:val="1"/>
          <w:bCs w:val="1"/>
          <w:color w:val="333333"/>
        </w:rPr>
      </w:pPr>
      <w:r>
        <w:rPr>
          <w:rFonts w:ascii="Times New Roman" w:cs="Times New Roman" w:eastAsia="Times New Roman" w:hAnsi="Times New Roman"/>
          <w:sz w:val="18"/>
          <w:szCs w:val="18"/>
          <w:b w:val="1"/>
          <w:bCs w:val="1"/>
          <w:color w:val="auto"/>
        </w:rPr>
        <w:t>European Privacy Rights and Disclosures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343741"/>
        </w:rPr>
        <w:t>This European Privacy Rights and Disclosure section addresses legal obligations and rights specified in the General Data Protection Regulation and the UK General Data Protection Regulation (together, “GDPR”). These obligations and rights apply to individuals who are located in the European Economic Area (“EEA”) and the United Kingdom (“UK” and, together with the EEA, “Europe”). This section describes the policies and procedures followed by the Company regarding the collection, use and disclosure of your personal data when you visit the website, or otherwise interact with the Company. For the purposes of this section (</w:t>
      </w:r>
      <w:r>
        <w:rPr>
          <w:rFonts w:ascii="Times New Roman" w:cs="Times New Roman" w:eastAsia="Times New Roman" w:hAnsi="Times New Roman"/>
          <w:sz w:val="18"/>
          <w:szCs w:val="18"/>
          <w:i w:val="1"/>
          <w:iCs w:val="1"/>
          <w:color w:val="343741"/>
        </w:rPr>
        <w:t>European Privacy Rights and Disclosures</w:t>
      </w:r>
      <w:r>
        <w:rPr>
          <w:rFonts w:ascii="Times New Roman" w:cs="Times New Roman" w:eastAsia="Times New Roman" w:hAnsi="Times New Roman"/>
          <w:sz w:val="18"/>
          <w:szCs w:val="18"/>
          <w:color w:val="343741"/>
        </w:rPr>
        <w:t>), “personal data” means any information relating to an identified or identifiable natural person, either directly or indirectly.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43741"/>
        </w:rPr>
        <w:t>According to the GDPR, the Company is the controller of your personal data.</w:t>
      </w:r>
    </w:p>
    <w:p>
      <w:pPr>
        <w:spacing w:after="0" w:line="221"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343741"/>
        </w:rPr>
        <w:t>Collection of Your Personal Data</w:t>
      </w:r>
    </w:p>
    <w:p>
      <w:pPr>
        <w:spacing w:after="0" w:line="121" w:lineRule="exact"/>
        <w:rPr>
          <w:rFonts w:ascii="Times New Roman" w:cs="Times New Roman" w:eastAsia="Times New Roman" w:hAnsi="Times New Roman"/>
          <w:sz w:val="18"/>
          <w:szCs w:val="18"/>
          <w:color w:val="auto"/>
        </w:rPr>
      </w:pPr>
    </w:p>
    <w:p>
      <w:pPr>
        <w:jc w:val="both"/>
        <w:ind w:left="760" w:right="3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43741"/>
        </w:rPr>
        <w:t>When you visit the website, receive services from us or otherwise interact with us, we may collect the following personal data about you: your name, postal address, e-mail address, phone number, account name, date of birth, social security number, driver’s license number, photograph, passport number, employer, job title, bank account information, financial information such as your income and net worth, risk tolerance and transaction history, details about your investment activity or retirement portfolios and information about your transactions with us such as the investment amount and any contributions and/or distributions, as well as any other information you choose to provide to us.</w:t>
      </w:r>
    </w:p>
    <w:p>
      <w:pPr>
        <w:spacing w:after="0" w:line="79" w:lineRule="exact"/>
        <w:rPr>
          <w:sz w:val="20"/>
          <w:szCs w:val="20"/>
          <w:color w:val="auto"/>
        </w:rPr>
      </w:pPr>
    </w:p>
    <w:p>
      <w:pPr>
        <w:ind w:left="5520" w:right="2800" w:hanging="4761"/>
        <w:spacing w:after="0" w:line="282" w:lineRule="auto"/>
        <w:rPr>
          <w:sz w:val="20"/>
          <w:szCs w:val="20"/>
          <w:color w:val="auto"/>
        </w:rPr>
      </w:pPr>
      <w:r>
        <w:rPr>
          <w:rFonts w:ascii="Times New Roman" w:cs="Times New Roman" w:eastAsia="Times New Roman" w:hAnsi="Times New Roman"/>
          <w:sz w:val="18"/>
          <w:szCs w:val="18"/>
          <w:color w:val="343741"/>
        </w:rPr>
        <w:t xml:space="preserve">Where the Company carries out background checks on certain individuals for a business purpose, this may </w:t>
      </w:r>
      <w:r>
        <w:rPr>
          <w:rFonts w:ascii="Times New Roman" w:cs="Times New Roman" w:eastAsia="Times New Roman" w:hAnsi="Times New Roman"/>
          <w:sz w:val="18"/>
          <w:szCs w:val="18"/>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1" w:name="page32"/>
    <w:bookmarkEnd w:id="31"/>
    <w:p>
      <w:pPr>
        <w:ind w:left="378"/>
        <w:spacing w:after="0" w:line="282" w:lineRule="auto"/>
        <w:rPr>
          <w:sz w:val="20"/>
          <w:szCs w:val="20"/>
          <w:color w:val="auto"/>
        </w:rPr>
      </w:pPr>
      <w:r>
        <w:rPr>
          <w:rFonts w:ascii="Times New Roman" w:cs="Times New Roman" w:eastAsia="Times New Roman" w:hAnsi="Times New Roman"/>
          <w:sz w:val="18"/>
          <w:szCs w:val="18"/>
          <w:color w:val="343741"/>
        </w:rPr>
        <w:t>involve the processing of data relating to criminal convictions and offences. This data will only be processed where such processing is specifically required or authorized by law.</w:t>
      </w:r>
    </w:p>
    <w:p>
      <w:pPr>
        <w:spacing w:after="0" w:line="171" w:lineRule="exact"/>
        <w:rPr>
          <w:sz w:val="20"/>
          <w:szCs w:val="20"/>
          <w:color w:val="auto"/>
        </w:rPr>
      </w:pPr>
    </w:p>
    <w:p>
      <w:pPr>
        <w:ind w:left="378" w:hanging="378"/>
        <w:spacing w:after="0"/>
        <w:tabs>
          <w:tab w:leader="none" w:pos="3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343741"/>
        </w:rPr>
        <w:t>Use of Your Personal Data</w:t>
      </w:r>
    </w:p>
    <w:p>
      <w:pPr>
        <w:spacing w:after="0" w:line="121" w:lineRule="exact"/>
        <w:rPr>
          <w:rFonts w:ascii="Times New Roman" w:cs="Times New Roman" w:eastAsia="Times New Roman" w:hAnsi="Times New Roman"/>
          <w:sz w:val="18"/>
          <w:szCs w:val="18"/>
          <w:color w:val="auto"/>
        </w:rPr>
      </w:pPr>
    </w:p>
    <w:p>
      <w:pPr>
        <w:ind w:left="37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43741"/>
        </w:rPr>
        <w:t>We may use the personal data you give us to carry out the following purposes:</w:t>
      </w:r>
    </w:p>
    <w:p>
      <w:pPr>
        <w:spacing w:after="0" w:line="207" w:lineRule="exact"/>
        <w:rPr>
          <w:sz w:val="20"/>
          <w:szCs w:val="20"/>
          <w:color w:val="auto"/>
        </w:rPr>
      </w:pPr>
    </w:p>
    <w:tbl>
      <w:tblPr>
        <w:tblLayout w:type="fixed"/>
        <w:tblInd w:w="28" w:type="dxa"/>
        <w:tblCellMar>
          <w:top w:w="0" w:type="dxa"/>
          <w:left w:w="0" w:type="dxa"/>
          <w:bottom w:w="0" w:type="dxa"/>
          <w:right w:w="0" w:type="dxa"/>
        </w:tblCellMar>
      </w:tblPr>
      <w:tr>
        <w:trPr>
          <w:trHeight w:val="341"/>
        </w:trPr>
        <w:tc>
          <w:tcPr>
            <w:tcW w:w="5260" w:type="dxa"/>
            <w:vAlign w:val="bottom"/>
            <w:tcBorders>
              <w:top w:val="single" w:sz="8" w:color="auto"/>
              <w:left w:val="single" w:sz="8" w:color="auto"/>
              <w:right w:val="single" w:sz="8" w:color="auto"/>
            </w:tcBorders>
            <w:shd w:val="clear" w:color="auto" w:fill="B8CCE3"/>
          </w:tcPr>
          <w:p>
            <w:pPr>
              <w:ind w:left="2140"/>
              <w:spacing w:after="0"/>
              <w:rPr>
                <w:sz w:val="20"/>
                <w:szCs w:val="20"/>
                <w:color w:val="auto"/>
              </w:rPr>
            </w:pPr>
            <w:r>
              <w:rPr>
                <w:rFonts w:ascii="Times New Roman" w:cs="Times New Roman" w:eastAsia="Times New Roman" w:hAnsi="Times New Roman"/>
                <w:sz w:val="18"/>
                <w:szCs w:val="18"/>
                <w:b w:val="1"/>
                <w:bCs w:val="1"/>
                <w:color w:val="333333"/>
              </w:rPr>
              <w:t>Purpose</w:t>
            </w:r>
          </w:p>
        </w:tc>
        <w:tc>
          <w:tcPr>
            <w:tcW w:w="5200" w:type="dxa"/>
            <w:vAlign w:val="bottom"/>
            <w:tcBorders>
              <w:top w:val="single" w:sz="8" w:color="auto"/>
              <w:right w:val="single" w:sz="8" w:color="auto"/>
            </w:tcBorders>
            <w:shd w:val="clear" w:color="auto" w:fill="B8CCE3"/>
          </w:tcPr>
          <w:p>
            <w:pPr>
              <w:ind w:left="2080"/>
              <w:spacing w:after="0"/>
              <w:rPr>
                <w:sz w:val="20"/>
                <w:szCs w:val="20"/>
                <w:color w:val="auto"/>
              </w:rPr>
            </w:pPr>
            <w:r>
              <w:rPr>
                <w:rFonts w:ascii="Times New Roman" w:cs="Times New Roman" w:eastAsia="Times New Roman" w:hAnsi="Times New Roman"/>
                <w:sz w:val="18"/>
                <w:szCs w:val="18"/>
                <w:b w:val="1"/>
                <w:bCs w:val="1"/>
                <w:color w:val="333333"/>
              </w:rPr>
              <w:t>Lawful Basis</w:t>
            </w:r>
          </w:p>
        </w:tc>
      </w:tr>
      <w:tr>
        <w:trPr>
          <w:trHeight w:val="91"/>
        </w:trPr>
        <w:tc>
          <w:tcPr>
            <w:tcW w:w="5260" w:type="dxa"/>
            <w:vAlign w:val="bottom"/>
            <w:tcBorders>
              <w:left w:val="single" w:sz="8" w:color="auto"/>
              <w:bottom w:val="single" w:sz="8" w:color="auto"/>
              <w:right w:val="single" w:sz="8" w:color="auto"/>
            </w:tcBorders>
            <w:shd w:val="clear" w:color="auto" w:fill="B8CCE3"/>
          </w:tcPr>
          <w:p>
            <w:pPr>
              <w:spacing w:after="0"/>
              <w:rPr>
                <w:sz w:val="7"/>
                <w:szCs w:val="7"/>
                <w:color w:val="auto"/>
              </w:rPr>
            </w:pPr>
          </w:p>
        </w:tc>
        <w:tc>
          <w:tcPr>
            <w:tcW w:w="5200" w:type="dxa"/>
            <w:vAlign w:val="bottom"/>
            <w:tcBorders>
              <w:bottom w:val="single" w:sz="8" w:color="auto"/>
              <w:right w:val="single" w:sz="8" w:color="auto"/>
            </w:tcBorders>
            <w:shd w:val="clear" w:color="auto" w:fill="B8CCE3"/>
          </w:tcPr>
          <w:p>
            <w:pPr>
              <w:spacing w:after="0"/>
              <w:rPr>
                <w:sz w:val="7"/>
                <w:szCs w:val="7"/>
                <w:color w:val="auto"/>
              </w:rPr>
            </w:pPr>
          </w:p>
        </w:tc>
      </w:tr>
      <w:tr>
        <w:trPr>
          <w:trHeight w:val="302"/>
        </w:trPr>
        <w:tc>
          <w:tcPr>
            <w:tcW w:w="52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333333"/>
              </w:rPr>
              <w:t>To contact you and to respond to your requests and enquiries when</w:t>
            </w:r>
          </w:p>
        </w:tc>
        <w:tc>
          <w:tcPr>
            <w:tcW w:w="5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33333"/>
              </w:rPr>
              <w:t>We have a legitimate interest to respond to your requests and</w:t>
            </w:r>
          </w:p>
        </w:tc>
      </w:tr>
      <w:tr>
        <w:trPr>
          <w:trHeight w:val="234"/>
        </w:trPr>
        <w:tc>
          <w:tcPr>
            <w:tcW w:w="52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333333"/>
              </w:rPr>
              <w:t>you contact us, or subscribe to receive email alerts</w:t>
            </w:r>
          </w:p>
        </w:tc>
        <w:tc>
          <w:tcPr>
            <w:tcW w:w="5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33333"/>
              </w:rPr>
              <w:t>enquiries for ongoing business administration</w:t>
            </w:r>
          </w:p>
        </w:tc>
      </w:tr>
      <w:tr>
        <w:trPr>
          <w:trHeight w:val="378"/>
        </w:trPr>
        <w:tc>
          <w:tcPr>
            <w:tcW w:w="5260" w:type="dxa"/>
            <w:vAlign w:val="bottom"/>
            <w:tcBorders>
              <w:left w:val="single" w:sz="8" w:color="auto"/>
              <w:bottom w:val="single" w:sz="8" w:color="auto"/>
              <w:right w:val="single" w:sz="8" w:color="auto"/>
            </w:tcBorders>
          </w:tcPr>
          <w:p>
            <w:pPr>
              <w:spacing w:after="0"/>
              <w:rPr>
                <w:sz w:val="24"/>
                <w:szCs w:val="24"/>
                <w:color w:val="auto"/>
              </w:rPr>
            </w:pPr>
          </w:p>
        </w:tc>
        <w:tc>
          <w:tcPr>
            <w:tcW w:w="5200" w:type="dxa"/>
            <w:vAlign w:val="bottom"/>
            <w:tcBorders>
              <w:bottom w:val="single" w:sz="8" w:color="auto"/>
              <w:right w:val="single" w:sz="8" w:color="auto"/>
            </w:tcBorders>
          </w:tcPr>
          <w:p>
            <w:pPr>
              <w:spacing w:after="0"/>
              <w:rPr>
                <w:sz w:val="24"/>
                <w:szCs w:val="24"/>
                <w:color w:val="auto"/>
              </w:rPr>
            </w:pPr>
          </w:p>
        </w:tc>
      </w:tr>
      <w:tr>
        <w:trPr>
          <w:trHeight w:val="318"/>
        </w:trPr>
        <w:tc>
          <w:tcPr>
            <w:tcW w:w="52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333333"/>
              </w:rPr>
              <w:t>To deliver services to you</w:t>
            </w:r>
          </w:p>
        </w:tc>
        <w:tc>
          <w:tcPr>
            <w:tcW w:w="5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33333"/>
              </w:rPr>
              <w:t>To manage and perform our contract with you</w:t>
            </w:r>
          </w:p>
        </w:tc>
      </w:tr>
      <w:tr>
        <w:trPr>
          <w:trHeight w:val="68"/>
        </w:trPr>
        <w:tc>
          <w:tcPr>
            <w:tcW w:w="5260" w:type="dxa"/>
            <w:vAlign w:val="bottom"/>
            <w:tcBorders>
              <w:left w:val="single" w:sz="8" w:color="auto"/>
              <w:bottom w:val="single" w:sz="8" w:color="auto"/>
              <w:right w:val="single" w:sz="8" w:color="auto"/>
            </w:tcBorders>
          </w:tcPr>
          <w:p>
            <w:pPr>
              <w:spacing w:after="0"/>
              <w:rPr>
                <w:sz w:val="5"/>
                <w:szCs w:val="5"/>
                <w:color w:val="auto"/>
              </w:rPr>
            </w:pPr>
          </w:p>
        </w:tc>
        <w:tc>
          <w:tcPr>
            <w:tcW w:w="5200" w:type="dxa"/>
            <w:vAlign w:val="bottom"/>
            <w:tcBorders>
              <w:bottom w:val="single" w:sz="8" w:color="auto"/>
              <w:right w:val="single" w:sz="8" w:color="auto"/>
            </w:tcBorders>
          </w:tcPr>
          <w:p>
            <w:pPr>
              <w:spacing w:after="0"/>
              <w:rPr>
                <w:sz w:val="5"/>
                <w:szCs w:val="5"/>
                <w:color w:val="auto"/>
              </w:rPr>
            </w:pPr>
          </w:p>
        </w:tc>
      </w:tr>
      <w:tr>
        <w:trPr>
          <w:trHeight w:val="299"/>
        </w:trPr>
        <w:tc>
          <w:tcPr>
            <w:tcW w:w="52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333333"/>
              </w:rPr>
              <w:t>For recruitment purposes</w:t>
            </w:r>
          </w:p>
        </w:tc>
        <w:tc>
          <w:tcPr>
            <w:tcW w:w="5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33333"/>
              </w:rPr>
              <w:t>We have a legitimate interest to consider an applicant for a role or</w:t>
            </w:r>
          </w:p>
        </w:tc>
      </w:tr>
      <w:tr>
        <w:trPr>
          <w:trHeight w:val="234"/>
        </w:trPr>
        <w:tc>
          <w:tcPr>
            <w:tcW w:w="5260" w:type="dxa"/>
            <w:vAlign w:val="bottom"/>
            <w:tcBorders>
              <w:left w:val="single" w:sz="8" w:color="auto"/>
              <w:right w:val="single" w:sz="8" w:color="auto"/>
            </w:tcBorders>
          </w:tcPr>
          <w:p>
            <w:pPr>
              <w:spacing w:after="0"/>
              <w:rPr>
                <w:sz w:val="20"/>
                <w:szCs w:val="20"/>
                <w:color w:val="auto"/>
              </w:rPr>
            </w:pPr>
          </w:p>
        </w:tc>
        <w:tc>
          <w:tcPr>
            <w:tcW w:w="5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33333"/>
              </w:rPr>
              <w:t>vacancy in accordance with our recruitment process</w:t>
            </w:r>
          </w:p>
        </w:tc>
      </w:tr>
      <w:tr>
        <w:trPr>
          <w:trHeight w:val="310"/>
        </w:trPr>
        <w:tc>
          <w:tcPr>
            <w:tcW w:w="5260" w:type="dxa"/>
            <w:vAlign w:val="bottom"/>
            <w:tcBorders>
              <w:left w:val="single" w:sz="8" w:color="auto"/>
              <w:bottom w:val="single" w:sz="8" w:color="auto"/>
              <w:right w:val="single" w:sz="8" w:color="auto"/>
            </w:tcBorders>
          </w:tcPr>
          <w:p>
            <w:pPr>
              <w:spacing w:after="0"/>
              <w:rPr>
                <w:sz w:val="24"/>
                <w:szCs w:val="24"/>
                <w:color w:val="auto"/>
              </w:rPr>
            </w:pPr>
          </w:p>
        </w:tc>
        <w:tc>
          <w:tcPr>
            <w:tcW w:w="5200" w:type="dxa"/>
            <w:vAlign w:val="bottom"/>
            <w:tcBorders>
              <w:bottom w:val="single" w:sz="8" w:color="auto"/>
              <w:right w:val="single" w:sz="8" w:color="auto"/>
            </w:tcBorders>
          </w:tcPr>
          <w:p>
            <w:pPr>
              <w:spacing w:after="0"/>
              <w:rPr>
                <w:sz w:val="24"/>
                <w:szCs w:val="24"/>
                <w:color w:val="auto"/>
              </w:rPr>
            </w:pPr>
          </w:p>
        </w:tc>
      </w:tr>
      <w:tr>
        <w:trPr>
          <w:trHeight w:val="299"/>
        </w:trPr>
        <w:tc>
          <w:tcPr>
            <w:tcW w:w="52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333333"/>
              </w:rPr>
              <w:t>To send you our newsletter / bulletin or any other direct marketing</w:t>
            </w:r>
          </w:p>
        </w:tc>
        <w:tc>
          <w:tcPr>
            <w:tcW w:w="5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33333"/>
              </w:rPr>
              <w:t>Where we have received your consent</w:t>
            </w:r>
          </w:p>
        </w:tc>
      </w:tr>
      <w:tr>
        <w:trPr>
          <w:trHeight w:val="234"/>
        </w:trPr>
        <w:tc>
          <w:tcPr>
            <w:tcW w:w="52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333333"/>
              </w:rPr>
              <w:t>information</w:t>
            </w:r>
          </w:p>
        </w:tc>
        <w:tc>
          <w:tcPr>
            <w:tcW w:w="5200" w:type="dxa"/>
            <w:vAlign w:val="bottom"/>
            <w:tcBorders>
              <w:right w:val="single" w:sz="8" w:color="auto"/>
            </w:tcBorders>
          </w:tcPr>
          <w:p>
            <w:pPr>
              <w:spacing w:after="0"/>
              <w:rPr>
                <w:sz w:val="20"/>
                <w:szCs w:val="20"/>
                <w:color w:val="auto"/>
              </w:rPr>
            </w:pPr>
          </w:p>
        </w:tc>
      </w:tr>
      <w:tr>
        <w:trPr>
          <w:trHeight w:val="81"/>
        </w:trPr>
        <w:tc>
          <w:tcPr>
            <w:tcW w:w="5260" w:type="dxa"/>
            <w:vAlign w:val="bottom"/>
            <w:tcBorders>
              <w:left w:val="single" w:sz="8" w:color="auto"/>
              <w:bottom w:val="single" w:sz="8" w:color="auto"/>
              <w:right w:val="single" w:sz="8" w:color="auto"/>
            </w:tcBorders>
          </w:tcPr>
          <w:p>
            <w:pPr>
              <w:spacing w:after="0"/>
              <w:rPr>
                <w:sz w:val="7"/>
                <w:szCs w:val="7"/>
                <w:color w:val="auto"/>
              </w:rPr>
            </w:pPr>
          </w:p>
        </w:tc>
        <w:tc>
          <w:tcPr>
            <w:tcW w:w="5200" w:type="dxa"/>
            <w:vAlign w:val="bottom"/>
            <w:tcBorders>
              <w:bottom w:val="single" w:sz="8" w:color="auto"/>
              <w:right w:val="single" w:sz="8" w:color="auto"/>
            </w:tcBorders>
          </w:tcPr>
          <w:p>
            <w:pPr>
              <w:spacing w:after="0"/>
              <w:rPr>
                <w:sz w:val="7"/>
                <w:szCs w:val="7"/>
                <w:color w:val="auto"/>
              </w:rPr>
            </w:pPr>
          </w:p>
        </w:tc>
      </w:tr>
      <w:tr>
        <w:trPr>
          <w:trHeight w:val="286"/>
        </w:trPr>
        <w:tc>
          <w:tcPr>
            <w:tcW w:w="52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333333"/>
              </w:rPr>
              <w:t>For business administration, including statistical analysis</w:t>
            </w:r>
          </w:p>
        </w:tc>
        <w:tc>
          <w:tcPr>
            <w:tcW w:w="5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33333"/>
              </w:rPr>
              <w:t>We have a legitimate interest to properly manage and administer our</w:t>
            </w:r>
          </w:p>
        </w:tc>
      </w:tr>
      <w:tr>
        <w:trPr>
          <w:trHeight w:val="234"/>
        </w:trPr>
        <w:tc>
          <w:tcPr>
            <w:tcW w:w="5260" w:type="dxa"/>
            <w:vAlign w:val="bottom"/>
            <w:tcBorders>
              <w:left w:val="single" w:sz="8" w:color="auto"/>
              <w:right w:val="single" w:sz="8" w:color="auto"/>
            </w:tcBorders>
          </w:tcPr>
          <w:p>
            <w:pPr>
              <w:spacing w:after="0"/>
              <w:rPr>
                <w:sz w:val="20"/>
                <w:szCs w:val="20"/>
                <w:color w:val="auto"/>
              </w:rPr>
            </w:pPr>
          </w:p>
        </w:tc>
        <w:tc>
          <w:tcPr>
            <w:tcW w:w="5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33333"/>
              </w:rPr>
              <w:t>relationship with you and to ensure that we are effective and efficient</w:t>
            </w:r>
          </w:p>
        </w:tc>
      </w:tr>
      <w:tr>
        <w:trPr>
          <w:trHeight w:val="392"/>
        </w:trPr>
        <w:tc>
          <w:tcPr>
            <w:tcW w:w="5260" w:type="dxa"/>
            <w:vAlign w:val="bottom"/>
            <w:tcBorders>
              <w:left w:val="single" w:sz="8" w:color="auto"/>
              <w:bottom w:val="single" w:sz="8" w:color="auto"/>
              <w:right w:val="single" w:sz="8" w:color="auto"/>
            </w:tcBorders>
          </w:tcPr>
          <w:p>
            <w:pPr>
              <w:spacing w:after="0"/>
              <w:rPr>
                <w:sz w:val="24"/>
                <w:szCs w:val="24"/>
                <w:color w:val="auto"/>
              </w:rPr>
            </w:pPr>
          </w:p>
        </w:tc>
        <w:tc>
          <w:tcPr>
            <w:tcW w:w="5200" w:type="dxa"/>
            <w:vAlign w:val="bottom"/>
            <w:tcBorders>
              <w:bottom w:val="single" w:sz="8" w:color="auto"/>
              <w:right w:val="single" w:sz="8" w:color="auto"/>
            </w:tcBorders>
          </w:tcPr>
          <w:p>
            <w:pPr>
              <w:spacing w:after="0"/>
              <w:rPr>
                <w:sz w:val="24"/>
                <w:szCs w:val="24"/>
                <w:color w:val="auto"/>
              </w:rPr>
            </w:pPr>
          </w:p>
        </w:tc>
      </w:tr>
      <w:tr>
        <w:trPr>
          <w:trHeight w:val="299"/>
        </w:trPr>
        <w:tc>
          <w:tcPr>
            <w:tcW w:w="52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333333"/>
              </w:rPr>
              <w:t>To personalize your visit to the website and to assist you while you</w:t>
            </w:r>
          </w:p>
        </w:tc>
        <w:tc>
          <w:tcPr>
            <w:tcW w:w="5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33333"/>
              </w:rPr>
              <w:t>We have a legitimate interest to properly manage and administer our</w:t>
            </w:r>
          </w:p>
        </w:tc>
      </w:tr>
      <w:tr>
        <w:trPr>
          <w:trHeight w:val="216"/>
        </w:trPr>
        <w:tc>
          <w:tcPr>
            <w:tcW w:w="52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333333"/>
              </w:rPr>
              <w:t>use the websites</w:t>
            </w:r>
          </w:p>
        </w:tc>
        <w:tc>
          <w:tcPr>
            <w:tcW w:w="5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33333"/>
              </w:rPr>
              <w:t>relationship with you and to ensure that we are effective</w:t>
            </w:r>
          </w:p>
        </w:tc>
      </w:tr>
      <w:tr>
        <w:trPr>
          <w:trHeight w:val="234"/>
        </w:trPr>
        <w:tc>
          <w:tcPr>
            <w:tcW w:w="5260" w:type="dxa"/>
            <w:vAlign w:val="bottom"/>
            <w:tcBorders>
              <w:left w:val="single" w:sz="8" w:color="auto"/>
              <w:right w:val="single" w:sz="8" w:color="auto"/>
            </w:tcBorders>
          </w:tcPr>
          <w:p>
            <w:pPr>
              <w:spacing w:after="0"/>
              <w:rPr>
                <w:sz w:val="20"/>
                <w:szCs w:val="20"/>
                <w:color w:val="auto"/>
              </w:rPr>
            </w:pPr>
          </w:p>
        </w:tc>
        <w:tc>
          <w:tcPr>
            <w:tcW w:w="5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33333"/>
              </w:rPr>
              <w:t>and efficient</w:t>
            </w:r>
          </w:p>
        </w:tc>
      </w:tr>
      <w:tr>
        <w:trPr>
          <w:trHeight w:val="162"/>
        </w:trPr>
        <w:tc>
          <w:tcPr>
            <w:tcW w:w="5260" w:type="dxa"/>
            <w:vAlign w:val="bottom"/>
            <w:tcBorders>
              <w:left w:val="single" w:sz="8" w:color="auto"/>
              <w:bottom w:val="single" w:sz="8" w:color="auto"/>
              <w:right w:val="single" w:sz="8" w:color="auto"/>
            </w:tcBorders>
          </w:tcPr>
          <w:p>
            <w:pPr>
              <w:spacing w:after="0"/>
              <w:rPr>
                <w:sz w:val="14"/>
                <w:szCs w:val="14"/>
                <w:color w:val="auto"/>
              </w:rPr>
            </w:pPr>
          </w:p>
        </w:tc>
        <w:tc>
          <w:tcPr>
            <w:tcW w:w="5200" w:type="dxa"/>
            <w:vAlign w:val="bottom"/>
            <w:tcBorders>
              <w:bottom w:val="single" w:sz="8" w:color="auto"/>
              <w:right w:val="single" w:sz="8" w:color="auto"/>
            </w:tcBorders>
          </w:tcPr>
          <w:p>
            <w:pPr>
              <w:spacing w:after="0"/>
              <w:rPr>
                <w:sz w:val="14"/>
                <w:szCs w:val="14"/>
                <w:color w:val="auto"/>
              </w:rPr>
            </w:pPr>
          </w:p>
        </w:tc>
      </w:tr>
      <w:tr>
        <w:trPr>
          <w:trHeight w:val="286"/>
        </w:trPr>
        <w:tc>
          <w:tcPr>
            <w:tcW w:w="52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333333"/>
              </w:rPr>
              <w:t>To improve the website by helping us understand who uses the</w:t>
            </w:r>
          </w:p>
        </w:tc>
        <w:tc>
          <w:tcPr>
            <w:tcW w:w="5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33333"/>
              </w:rPr>
              <w:t>We have a legitimate interest to properly manage and administer our</w:t>
            </w:r>
          </w:p>
        </w:tc>
      </w:tr>
      <w:tr>
        <w:trPr>
          <w:trHeight w:val="248"/>
        </w:trPr>
        <w:tc>
          <w:tcPr>
            <w:tcW w:w="52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333333"/>
              </w:rPr>
              <w:t>websites</w:t>
            </w:r>
          </w:p>
        </w:tc>
        <w:tc>
          <w:tcPr>
            <w:tcW w:w="5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33333"/>
              </w:rPr>
              <w:t>relationship with you and to ensure that we are effective and efficient</w:t>
            </w:r>
          </w:p>
        </w:tc>
      </w:tr>
      <w:tr>
        <w:trPr>
          <w:trHeight w:val="378"/>
        </w:trPr>
        <w:tc>
          <w:tcPr>
            <w:tcW w:w="5260" w:type="dxa"/>
            <w:vAlign w:val="bottom"/>
            <w:tcBorders>
              <w:left w:val="single" w:sz="8" w:color="auto"/>
              <w:bottom w:val="single" w:sz="8" w:color="auto"/>
              <w:right w:val="single" w:sz="8" w:color="auto"/>
            </w:tcBorders>
          </w:tcPr>
          <w:p>
            <w:pPr>
              <w:spacing w:after="0"/>
              <w:rPr>
                <w:sz w:val="24"/>
                <w:szCs w:val="24"/>
                <w:color w:val="auto"/>
              </w:rPr>
            </w:pPr>
          </w:p>
        </w:tc>
        <w:tc>
          <w:tcPr>
            <w:tcW w:w="5200" w:type="dxa"/>
            <w:vAlign w:val="bottom"/>
            <w:tcBorders>
              <w:bottom w:val="single" w:sz="8" w:color="auto"/>
              <w:right w:val="single" w:sz="8" w:color="auto"/>
            </w:tcBorders>
          </w:tcPr>
          <w:p>
            <w:pPr>
              <w:spacing w:after="0"/>
              <w:rPr>
                <w:sz w:val="24"/>
                <w:szCs w:val="24"/>
                <w:color w:val="auto"/>
              </w:rPr>
            </w:pPr>
          </w:p>
        </w:tc>
      </w:tr>
      <w:tr>
        <w:trPr>
          <w:trHeight w:val="299"/>
        </w:trPr>
        <w:tc>
          <w:tcPr>
            <w:tcW w:w="52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333333"/>
              </w:rPr>
              <w:t>For fraud prevention and detection and to comply with applicable</w:t>
            </w:r>
          </w:p>
        </w:tc>
        <w:tc>
          <w:tcPr>
            <w:tcW w:w="5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33333"/>
              </w:rPr>
              <w:t>To comply with our legal obligations</w:t>
            </w:r>
          </w:p>
        </w:tc>
      </w:tr>
      <w:tr>
        <w:trPr>
          <w:trHeight w:val="234"/>
        </w:trPr>
        <w:tc>
          <w:tcPr>
            <w:tcW w:w="52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333333"/>
              </w:rPr>
              <w:t>laws, regulations or codes of practice</w:t>
            </w:r>
          </w:p>
        </w:tc>
        <w:tc>
          <w:tcPr>
            <w:tcW w:w="5200" w:type="dxa"/>
            <w:vAlign w:val="bottom"/>
            <w:tcBorders>
              <w:right w:val="single" w:sz="8" w:color="auto"/>
            </w:tcBorders>
          </w:tcPr>
          <w:p>
            <w:pPr>
              <w:spacing w:after="0"/>
              <w:rPr>
                <w:sz w:val="20"/>
                <w:szCs w:val="20"/>
                <w:color w:val="auto"/>
              </w:rPr>
            </w:pPr>
          </w:p>
        </w:tc>
      </w:tr>
      <w:tr>
        <w:trPr>
          <w:trHeight w:val="337"/>
        </w:trPr>
        <w:tc>
          <w:tcPr>
            <w:tcW w:w="5260" w:type="dxa"/>
            <w:vAlign w:val="bottom"/>
            <w:tcBorders>
              <w:left w:val="single" w:sz="8" w:color="auto"/>
              <w:bottom w:val="single" w:sz="8" w:color="auto"/>
              <w:right w:val="single" w:sz="8" w:color="auto"/>
            </w:tcBorders>
          </w:tcPr>
          <w:p>
            <w:pPr>
              <w:spacing w:after="0"/>
              <w:rPr>
                <w:sz w:val="24"/>
                <w:szCs w:val="24"/>
                <w:color w:val="auto"/>
              </w:rPr>
            </w:pPr>
          </w:p>
        </w:tc>
        <w:tc>
          <w:tcPr>
            <w:tcW w:w="5200" w:type="dxa"/>
            <w:vAlign w:val="bottom"/>
            <w:tcBorders>
              <w:bottom w:val="single" w:sz="8" w:color="auto"/>
              <w:right w:val="single" w:sz="8" w:color="auto"/>
            </w:tcBorders>
          </w:tcPr>
          <w:p>
            <w:pPr>
              <w:spacing w:after="0"/>
              <w:rPr>
                <w:sz w:val="24"/>
                <w:szCs w:val="24"/>
                <w:color w:val="auto"/>
              </w:rPr>
            </w:pPr>
          </w:p>
        </w:tc>
      </w:tr>
    </w:tbl>
    <w:p>
      <w:pPr>
        <w:spacing w:after="0" w:line="306" w:lineRule="exact"/>
        <w:rPr>
          <w:sz w:val="20"/>
          <w:szCs w:val="20"/>
          <w:color w:val="auto"/>
        </w:rPr>
      </w:pPr>
    </w:p>
    <w:p>
      <w:pPr>
        <w:ind w:left="5138" w:right="1040" w:hanging="4761"/>
        <w:spacing w:after="0" w:line="282" w:lineRule="auto"/>
        <w:rPr>
          <w:sz w:val="20"/>
          <w:szCs w:val="20"/>
          <w:color w:val="auto"/>
        </w:rPr>
      </w:pPr>
      <w:r>
        <w:rPr>
          <w:rFonts w:ascii="Times New Roman" w:cs="Times New Roman" w:eastAsia="Times New Roman" w:hAnsi="Times New Roman"/>
          <w:sz w:val="18"/>
          <w:szCs w:val="18"/>
          <w:color w:val="343741"/>
        </w:rPr>
        <w:t xml:space="preserve">You have the right to object to processing of your personal data where that processing is carried out for our legitimate interest. </w:t>
      </w:r>
      <w:r>
        <w:rPr>
          <w:rFonts w:ascii="Times New Roman" w:cs="Times New Roman" w:eastAsia="Times New Roman" w:hAnsi="Times New Roman"/>
          <w:sz w:val="18"/>
          <w:szCs w:val="18"/>
          <w:color w:val="00000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452755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18"/>
          </w:cols>
          <w:pgMar w:left="702" w:top="1242" w:right="679" w:bottom="1440" w:gutter="0" w:footer="0" w:header="0"/>
        </w:sectPr>
      </w:pPr>
    </w:p>
    <w:bookmarkStart w:id="32" w:name="page33"/>
    <w:bookmarkEnd w:id="32"/>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343741"/>
        </w:rPr>
        <w:t>Sharing Your Personal Data</w:t>
      </w:r>
    </w:p>
    <w:p>
      <w:pPr>
        <w:spacing w:after="0" w:line="121" w:lineRule="exact"/>
        <w:rPr>
          <w:rFonts w:ascii="Times New Roman" w:cs="Times New Roman" w:eastAsia="Times New Roman" w:hAnsi="Times New Roman"/>
          <w:sz w:val="18"/>
          <w:szCs w:val="18"/>
          <w:color w:val="auto"/>
        </w:rPr>
      </w:pPr>
    </w:p>
    <w:p>
      <w:pPr>
        <w:jc w:val="both"/>
        <w:ind w:left="760" w:right="2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43741"/>
        </w:rPr>
        <w:t>We may share your personal information with others, but only in certain limited situations, including: (i) within our corporate group or among our affiliated entities, all of which follow this Privacy Notice or equivalent privacy policies; (ii) with our service providers or other parties who agree to keep your personal information confidential and use it only on behalf of the Company; (iii) if your investment is transferred from your current custodian to another custodian, we provide your contact details, tax identification number and other personal information contained within transfer documents to the new custodian on your behalf; and (iv) as otherwise agreed by you. Third parties with whom we share your personal information are bound to comply with similar and equally stringent undertakings of privacy and confidentiality.</w:t>
      </w:r>
    </w:p>
    <w:p>
      <w:pPr>
        <w:spacing w:after="0" w:line="229" w:lineRule="exact"/>
        <w:rPr>
          <w:rFonts w:ascii="Times New Roman" w:cs="Times New Roman" w:eastAsia="Times New Roman" w:hAnsi="Times New Roman"/>
          <w:sz w:val="18"/>
          <w:szCs w:val="18"/>
          <w:color w:val="auto"/>
        </w:rPr>
      </w:pPr>
    </w:p>
    <w:p>
      <w:pPr>
        <w:jc w:val="both"/>
        <w:ind w:left="760" w:right="2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43741"/>
        </w:rPr>
        <w:t>In some cases, we may be required to disclose certain personal information to comply with legal or regulatory obligations; to comply with the charter of the applicable entity into which you invest; to detect and protect against fraud, or any technical or security vulnerabilities; for an investigation or a legal process, such as a court order or subpoena; to respond to an emergency; or otherwise to protect the rights, property, safety, or security of third parties, visitors to the website, our businesses, or the public. In addition, the Company may disclose certain personal information to any third party that acquires, or is interested in acquiring, all or part of the Company’s assets or shares, or that succeeds the Company in carrying on all or a part of its business, whether by merger, acquisition, reorganization or otherwise.</w:t>
      </w:r>
    </w:p>
    <w:p>
      <w:pPr>
        <w:spacing w:after="0" w:line="19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343741"/>
        </w:rPr>
        <w:t>International Transfers</w:t>
      </w:r>
    </w:p>
    <w:p>
      <w:pPr>
        <w:spacing w:after="0" w:line="121" w:lineRule="exact"/>
        <w:rPr>
          <w:rFonts w:ascii="Times New Roman" w:cs="Times New Roman" w:eastAsia="Times New Roman" w:hAnsi="Times New Roman"/>
          <w:sz w:val="18"/>
          <w:szCs w:val="18"/>
          <w:color w:val="auto"/>
        </w:rPr>
      </w:pPr>
    </w:p>
    <w:p>
      <w:pPr>
        <w:jc w:val="both"/>
        <w:ind w:left="760" w:right="2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43741"/>
        </w:rPr>
        <w:t>When you are based in the Europe, personal data collected from you, including via the websites may be transferred to certain recipients located outside Europe, which do not provide a similar or adequate level of protection to that provided by countries in Europe, including the United States. Where we transfer your personal data outside of Europe, we will do so on the basis of appropriate safeguards, such as contractual safeguards</w:t>
      </w:r>
      <w:r>
        <w:rPr>
          <w:rFonts w:ascii="Times New Roman" w:cs="Times New Roman" w:eastAsia="Times New Roman" w:hAnsi="Times New Roman"/>
          <w:sz w:val="18"/>
          <w:szCs w:val="18"/>
          <w:i w:val="1"/>
          <w:iCs w:val="1"/>
          <w:color w:val="343741"/>
        </w:rPr>
        <w:t>.</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343741"/>
        </w:rPr>
        <w:t>Rights of Individuals</w:t>
      </w:r>
    </w:p>
    <w:p>
      <w:pPr>
        <w:spacing w:after="0" w:line="242" w:lineRule="exact"/>
        <w:rPr>
          <w:rFonts w:ascii="Times New Roman" w:cs="Times New Roman" w:eastAsia="Times New Roman" w:hAnsi="Times New Roman"/>
          <w:sz w:val="18"/>
          <w:szCs w:val="18"/>
          <w:color w:val="auto"/>
        </w:rPr>
      </w:pPr>
    </w:p>
    <w:p>
      <w:pPr>
        <w:jc w:val="both"/>
        <w:ind w:left="760" w:right="2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43741"/>
        </w:rPr>
        <w:t xml:space="preserve">You may have certain data privacy rights which may be subject to limitations and/or restrictions. These rights include the right to: (i) request access to and rectification and erasure of your personal data; (ii) obtain restriction of processing or to object to processing of your personal data; and (iii) ask for a copy of your personal data to be provided to you, or a third party, in a digital format. You also have the right to lodge a complaint about the processing of your personal data with your local data protection authority. If you would like to exercise any of these rights, please feel free to e-mail us at </w:t>
      </w:r>
      <w:r>
        <w:rPr>
          <w:rFonts w:ascii="Times New Roman" w:cs="Times New Roman" w:eastAsia="Times New Roman" w:hAnsi="Times New Roman"/>
          <w:sz w:val="18"/>
          <w:szCs w:val="18"/>
          <w:u w:val="single" w:color="auto"/>
          <w:color w:val="0563C1"/>
        </w:rPr>
        <w:t>privacy@ofsmanagement.com</w:t>
      </w:r>
      <w:r>
        <w:rPr>
          <w:rFonts w:ascii="Times New Roman" w:cs="Times New Roman" w:eastAsia="Times New Roman" w:hAnsi="Times New Roman"/>
          <w:sz w:val="18"/>
          <w:szCs w:val="18"/>
          <w:color w:val="343741"/>
        </w:rPr>
        <w:t xml:space="preserve"> or contact us at 1-833-687-3622.</w:t>
      </w:r>
    </w:p>
    <w:p>
      <w:pPr>
        <w:spacing w:after="0" w:line="193" w:lineRule="exact"/>
        <w:rPr>
          <w:sz w:val="20"/>
          <w:szCs w:val="20"/>
          <w:color w:val="auto"/>
        </w:rPr>
      </w:pPr>
    </w:p>
    <w:p>
      <w:pPr>
        <w:ind w:left="380" w:hanging="372"/>
        <w:spacing w:after="0"/>
        <w:tabs>
          <w:tab w:leader="none" w:pos="380" w:val="left"/>
        </w:tabs>
        <w:numPr>
          <w:ilvl w:val="0"/>
          <w:numId w:val="41"/>
        </w:numPr>
        <w:rPr>
          <w:rFonts w:ascii="Times New Roman" w:cs="Times New Roman" w:eastAsia="Times New Roman" w:hAnsi="Times New Roman"/>
          <w:sz w:val="18"/>
          <w:szCs w:val="18"/>
          <w:b w:val="1"/>
          <w:bCs w:val="1"/>
          <w:color w:val="333333"/>
        </w:rPr>
      </w:pPr>
      <w:r>
        <w:rPr>
          <w:rFonts w:ascii="Times New Roman" w:cs="Times New Roman" w:eastAsia="Times New Roman" w:hAnsi="Times New Roman"/>
          <w:sz w:val="18"/>
          <w:szCs w:val="18"/>
          <w:b w:val="1"/>
          <w:bCs w:val="1"/>
          <w:color w:val="auto"/>
        </w:rPr>
        <w:t>California Privacy Rights and Disclosures</w:t>
      </w:r>
    </w:p>
    <w:p>
      <w:pPr>
        <w:spacing w:after="0" w:line="1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This California Privacy Rights and Disclosure section addresses legal obligations and rights specified in the California Consumer Privacy Act, as amended (the “CCPA” or “Act”). For the purposes of this section (</w:t>
      </w:r>
      <w:r>
        <w:rPr>
          <w:rFonts w:ascii="Times New Roman" w:cs="Times New Roman" w:eastAsia="Times New Roman" w:hAnsi="Times New Roman"/>
          <w:sz w:val="18"/>
          <w:szCs w:val="18"/>
          <w:i w:val="1"/>
          <w:iCs w:val="1"/>
          <w:color w:val="auto"/>
        </w:rPr>
        <w:t>California Privacy Rights and Disclosures</w:t>
      </w:r>
      <w:r>
        <w:rPr>
          <w:rFonts w:ascii="Times New Roman" w:cs="Times New Roman" w:eastAsia="Times New Roman" w:hAnsi="Times New Roman"/>
          <w:sz w:val="18"/>
          <w:szCs w:val="18"/>
          <w:color w:val="auto"/>
        </w:rPr>
        <w:t xml:space="preserve">), “personal information” means information that identifies, relates to, describes, is reasonably capable of being associated with, or could be reasonably linked, directly or indirectly, with a particular consumer or household. If you need access to this Privacy Notice in a different format for accessibility reasons, please e-mail us at </w:t>
      </w:r>
      <w:r>
        <w:rPr>
          <w:rFonts w:ascii="Times New Roman" w:cs="Times New Roman" w:eastAsia="Times New Roman" w:hAnsi="Times New Roman"/>
          <w:sz w:val="18"/>
          <w:szCs w:val="18"/>
          <w:u w:val="single" w:color="auto"/>
          <w:color w:val="0562C1"/>
        </w:rPr>
        <w:t>privacy@ofsmanagement.com</w:t>
      </w:r>
      <w:r>
        <w:rPr>
          <w:rFonts w:ascii="Times New Roman" w:cs="Times New Roman" w:eastAsia="Times New Roman" w:hAnsi="Times New Roman"/>
          <w:sz w:val="18"/>
          <w:szCs w:val="18"/>
          <w:color w:val="0562C1"/>
        </w:rPr>
        <w:t xml:space="preserve"> </w:t>
      </w:r>
      <w:r>
        <w:rPr>
          <w:rFonts w:ascii="Times New Roman" w:cs="Times New Roman" w:eastAsia="Times New Roman" w:hAnsi="Times New Roman"/>
          <w:sz w:val="18"/>
          <w:szCs w:val="18"/>
          <w:color w:val="000000"/>
        </w:rPr>
        <w:t>or contact us at 1-833-687-3622.</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obligations and rights apply to businesses doing business in California and to California residents and information that identifies, relates to, describes, is reasonably capable of being associated with, or could reasonably be linked, directly or indirectly, with California consumers or households. It does not include deidentified or aggregate information, publicly available information, or lawfully obtained, truthful information that is a matter of public concern.</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following chart describes the categories of personal information we may collect or have collected about you in the past 12 months and, for each category, where and why we collect it, and the categories of entities to whom we disclose the personal information, if any:</w:t>
      </w: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97" w:right="4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76"/>
        </w:trPr>
        <w:tc>
          <w:tcPr>
            <w:tcW w:w="200" w:type="dxa"/>
            <w:vAlign w:val="bottom"/>
            <w:tcBorders>
              <w:right w:val="single" w:sz="8" w:color="auto"/>
            </w:tcBorders>
          </w:tcPr>
          <w:p>
            <w:pPr>
              <w:spacing w:after="0"/>
              <w:rPr>
                <w:sz w:val="23"/>
                <w:szCs w:val="23"/>
                <w:color w:val="auto"/>
              </w:rPr>
            </w:pPr>
          </w:p>
        </w:tc>
        <w:tc>
          <w:tcPr>
            <w:tcW w:w="2220" w:type="dxa"/>
            <w:vAlign w:val="bottom"/>
            <w:tcBorders>
              <w:top w:val="single" w:sz="8" w:color="auto"/>
              <w:right w:val="single" w:sz="8" w:color="auto"/>
            </w:tcBorders>
            <w:shd w:val="clear" w:color="auto" w:fill="B8CCE3"/>
          </w:tcPr>
          <w:p>
            <w:pPr>
              <w:ind w:left="20"/>
              <w:spacing w:after="0"/>
              <w:rPr>
                <w:sz w:val="20"/>
                <w:szCs w:val="20"/>
                <w:color w:val="auto"/>
              </w:rPr>
            </w:pPr>
            <w:r>
              <w:rPr>
                <w:rFonts w:ascii="Times New Roman" w:cs="Times New Roman" w:eastAsia="Times New Roman" w:hAnsi="Times New Roman"/>
                <w:sz w:val="14"/>
                <w:szCs w:val="14"/>
                <w:b w:val="1"/>
                <w:bCs w:val="1"/>
                <w:color w:val="343741"/>
              </w:rPr>
              <w:t>Category of Personal Information</w:t>
            </w:r>
          </w:p>
        </w:tc>
        <w:tc>
          <w:tcPr>
            <w:tcW w:w="2580" w:type="dxa"/>
            <w:vAlign w:val="bottom"/>
            <w:tcBorders>
              <w:top w:val="single" w:sz="8" w:color="auto"/>
              <w:right w:val="single" w:sz="8" w:color="auto"/>
            </w:tcBorders>
            <w:shd w:val="clear" w:color="auto" w:fill="B8CCE3"/>
          </w:tcPr>
          <w:p>
            <w:pPr>
              <w:ind w:left="80"/>
              <w:spacing w:after="0"/>
              <w:rPr>
                <w:sz w:val="20"/>
                <w:szCs w:val="20"/>
                <w:color w:val="auto"/>
              </w:rPr>
            </w:pPr>
            <w:r>
              <w:rPr>
                <w:rFonts w:ascii="Times New Roman" w:cs="Times New Roman" w:eastAsia="Times New Roman" w:hAnsi="Times New Roman"/>
                <w:sz w:val="14"/>
                <w:szCs w:val="14"/>
                <w:b w:val="1"/>
                <w:bCs w:val="1"/>
                <w:color w:val="343741"/>
              </w:rPr>
              <w:t>Sources from which PI is/was collected</w:t>
            </w:r>
          </w:p>
        </w:tc>
        <w:tc>
          <w:tcPr>
            <w:tcW w:w="2620" w:type="dxa"/>
            <w:vAlign w:val="bottom"/>
            <w:tcBorders>
              <w:top w:val="single" w:sz="8" w:color="auto"/>
              <w:right w:val="single" w:sz="8" w:color="auto"/>
            </w:tcBorders>
            <w:vMerge w:val="restart"/>
            <w:shd w:val="clear" w:color="auto" w:fill="B8CCE3"/>
          </w:tcPr>
          <w:p>
            <w:pPr>
              <w:ind w:left="660"/>
              <w:spacing w:after="0"/>
              <w:rPr>
                <w:sz w:val="20"/>
                <w:szCs w:val="20"/>
                <w:color w:val="auto"/>
              </w:rPr>
            </w:pPr>
            <w:r>
              <w:rPr>
                <w:rFonts w:ascii="Times New Roman" w:cs="Times New Roman" w:eastAsia="Times New Roman" w:hAnsi="Times New Roman"/>
                <w:sz w:val="14"/>
                <w:szCs w:val="14"/>
                <w:b w:val="1"/>
                <w:bCs w:val="1"/>
                <w:color w:val="343741"/>
              </w:rPr>
              <w:t>Purpose of collection</w:t>
            </w:r>
          </w:p>
        </w:tc>
        <w:tc>
          <w:tcPr>
            <w:tcW w:w="3460" w:type="dxa"/>
            <w:vAlign w:val="bottom"/>
            <w:tcBorders>
              <w:top w:val="single" w:sz="8" w:color="auto"/>
              <w:right w:val="single" w:sz="8" w:color="auto"/>
            </w:tcBorders>
            <w:shd w:val="clear" w:color="auto" w:fill="B8CCE3"/>
          </w:tcPr>
          <w:p>
            <w:pPr>
              <w:ind w:left="120"/>
              <w:spacing w:after="0"/>
              <w:rPr>
                <w:sz w:val="20"/>
                <w:szCs w:val="20"/>
                <w:color w:val="auto"/>
              </w:rPr>
            </w:pPr>
            <w:r>
              <w:rPr>
                <w:rFonts w:ascii="Times New Roman" w:cs="Times New Roman" w:eastAsia="Times New Roman" w:hAnsi="Times New Roman"/>
                <w:sz w:val="14"/>
                <w:szCs w:val="14"/>
                <w:b w:val="1"/>
                <w:bCs w:val="1"/>
                <w:color w:val="343741"/>
              </w:rPr>
              <w:t>Categories of entities with whom PI is/was disclosed</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6"/>
        </w:trPr>
        <w:tc>
          <w:tcPr>
            <w:tcW w:w="2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vMerge w:val="restart"/>
            <w:shd w:val="clear" w:color="auto" w:fill="B8CCE3"/>
          </w:tcPr>
          <w:p>
            <w:pPr>
              <w:ind w:left="880"/>
              <w:spacing w:after="0"/>
              <w:rPr>
                <w:sz w:val="20"/>
                <w:szCs w:val="20"/>
                <w:color w:val="auto"/>
              </w:rPr>
            </w:pPr>
            <w:r>
              <w:rPr>
                <w:rFonts w:ascii="Times New Roman" w:cs="Times New Roman" w:eastAsia="Times New Roman" w:hAnsi="Times New Roman"/>
                <w:sz w:val="14"/>
                <w:szCs w:val="14"/>
                <w:b w:val="1"/>
                <w:bCs w:val="1"/>
                <w:color w:val="343741"/>
              </w:rPr>
              <w:t>(“PI”)</w:t>
            </w:r>
          </w:p>
        </w:tc>
        <w:tc>
          <w:tcPr>
            <w:tcW w:w="2580" w:type="dxa"/>
            <w:vAlign w:val="bottom"/>
            <w:tcBorders>
              <w:right w:val="single" w:sz="8" w:color="auto"/>
            </w:tcBorders>
            <w:shd w:val="clear" w:color="auto" w:fill="B8CCE3"/>
          </w:tcPr>
          <w:p>
            <w:pPr>
              <w:spacing w:after="0"/>
              <w:rPr>
                <w:sz w:val="8"/>
                <w:szCs w:val="8"/>
                <w:color w:val="auto"/>
              </w:rPr>
            </w:pPr>
          </w:p>
        </w:tc>
        <w:tc>
          <w:tcPr>
            <w:tcW w:w="2620" w:type="dxa"/>
            <w:vAlign w:val="bottom"/>
            <w:tcBorders>
              <w:right w:val="single" w:sz="8" w:color="auto"/>
            </w:tcBorders>
            <w:vMerge w:val="continue"/>
            <w:shd w:val="clear" w:color="auto" w:fill="B8CCE3"/>
          </w:tcPr>
          <w:p>
            <w:pPr>
              <w:spacing w:after="0"/>
              <w:rPr>
                <w:sz w:val="8"/>
                <w:szCs w:val="8"/>
                <w:color w:val="auto"/>
              </w:rPr>
            </w:pPr>
          </w:p>
        </w:tc>
        <w:tc>
          <w:tcPr>
            <w:tcW w:w="3460" w:type="dxa"/>
            <w:vAlign w:val="bottom"/>
            <w:tcBorders>
              <w:right w:val="single" w:sz="8" w:color="auto"/>
            </w:tcBorders>
            <w:shd w:val="clear" w:color="auto" w:fill="B8CCE3"/>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vMerge w:val="continue"/>
            <w:shd w:val="clear" w:color="auto" w:fill="B8CCE3"/>
          </w:tcPr>
          <w:p>
            <w:pPr>
              <w:spacing w:after="0"/>
              <w:rPr>
                <w:sz w:val="8"/>
                <w:szCs w:val="8"/>
                <w:color w:val="auto"/>
              </w:rPr>
            </w:pPr>
          </w:p>
        </w:tc>
        <w:tc>
          <w:tcPr>
            <w:tcW w:w="2580" w:type="dxa"/>
            <w:vAlign w:val="bottom"/>
            <w:tcBorders>
              <w:right w:val="single" w:sz="8" w:color="auto"/>
            </w:tcBorders>
            <w:shd w:val="clear" w:color="auto" w:fill="B8CCE3"/>
          </w:tcPr>
          <w:p>
            <w:pPr>
              <w:spacing w:after="0"/>
              <w:rPr>
                <w:sz w:val="8"/>
                <w:szCs w:val="8"/>
                <w:color w:val="auto"/>
              </w:rPr>
            </w:pPr>
          </w:p>
        </w:tc>
        <w:tc>
          <w:tcPr>
            <w:tcW w:w="2620" w:type="dxa"/>
            <w:vAlign w:val="bottom"/>
            <w:tcBorders>
              <w:right w:val="single" w:sz="8" w:color="auto"/>
            </w:tcBorders>
            <w:shd w:val="clear" w:color="auto" w:fill="B8CCE3"/>
          </w:tcPr>
          <w:p>
            <w:pPr>
              <w:spacing w:after="0"/>
              <w:rPr>
                <w:sz w:val="8"/>
                <w:szCs w:val="8"/>
                <w:color w:val="auto"/>
              </w:rPr>
            </w:pPr>
          </w:p>
        </w:tc>
        <w:tc>
          <w:tcPr>
            <w:tcW w:w="3460" w:type="dxa"/>
            <w:vAlign w:val="bottom"/>
            <w:tcBorders>
              <w:right w:val="single" w:sz="8" w:color="auto"/>
            </w:tcBorders>
            <w:shd w:val="clear" w:color="auto" w:fill="B8CCE3"/>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0" w:type="dxa"/>
            <w:vAlign w:val="bottom"/>
            <w:tcBorders>
              <w:right w:val="single" w:sz="8" w:color="auto"/>
            </w:tcBorders>
          </w:tcPr>
          <w:p>
            <w:pPr>
              <w:spacing w:after="0"/>
              <w:rPr>
                <w:sz w:val="11"/>
                <w:szCs w:val="11"/>
                <w:color w:val="auto"/>
              </w:rPr>
            </w:pPr>
          </w:p>
        </w:tc>
        <w:tc>
          <w:tcPr>
            <w:tcW w:w="2220" w:type="dxa"/>
            <w:vAlign w:val="bottom"/>
            <w:tcBorders>
              <w:bottom w:val="single" w:sz="8" w:color="auto"/>
              <w:right w:val="single" w:sz="8" w:color="auto"/>
            </w:tcBorders>
            <w:shd w:val="clear" w:color="auto" w:fill="B8CCE3"/>
          </w:tcPr>
          <w:p>
            <w:pPr>
              <w:spacing w:after="0"/>
              <w:rPr>
                <w:sz w:val="11"/>
                <w:szCs w:val="11"/>
                <w:color w:val="auto"/>
              </w:rPr>
            </w:pPr>
          </w:p>
        </w:tc>
        <w:tc>
          <w:tcPr>
            <w:tcW w:w="2580" w:type="dxa"/>
            <w:vAlign w:val="bottom"/>
            <w:tcBorders>
              <w:bottom w:val="single" w:sz="8" w:color="auto"/>
              <w:right w:val="single" w:sz="8" w:color="auto"/>
            </w:tcBorders>
            <w:shd w:val="clear" w:color="auto" w:fill="B8CCE3"/>
          </w:tcPr>
          <w:p>
            <w:pPr>
              <w:spacing w:after="0"/>
              <w:rPr>
                <w:sz w:val="11"/>
                <w:szCs w:val="11"/>
                <w:color w:val="auto"/>
              </w:rPr>
            </w:pPr>
          </w:p>
        </w:tc>
        <w:tc>
          <w:tcPr>
            <w:tcW w:w="2620" w:type="dxa"/>
            <w:vAlign w:val="bottom"/>
            <w:tcBorders>
              <w:bottom w:val="single" w:sz="8" w:color="auto"/>
              <w:right w:val="single" w:sz="8" w:color="auto"/>
            </w:tcBorders>
            <w:shd w:val="clear" w:color="auto" w:fill="B8CCE3"/>
          </w:tcPr>
          <w:p>
            <w:pPr>
              <w:spacing w:after="0"/>
              <w:rPr>
                <w:sz w:val="11"/>
                <w:szCs w:val="11"/>
                <w:color w:val="auto"/>
              </w:rPr>
            </w:pPr>
          </w:p>
        </w:tc>
        <w:tc>
          <w:tcPr>
            <w:tcW w:w="3460" w:type="dxa"/>
            <w:vAlign w:val="bottom"/>
            <w:tcBorders>
              <w:bottom w:val="single" w:sz="8" w:color="auto"/>
              <w:right w:val="single" w:sz="8" w:color="auto"/>
            </w:tcBorders>
            <w:shd w:val="clear" w:color="auto" w:fill="B8CCE3"/>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343741"/>
              </w:rPr>
              <w:t>Address and other identifiers – such</w:t>
            </w:r>
          </w:p>
        </w:tc>
        <w:tc>
          <w:tcPr>
            <w:tcW w:w="258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6"/>
                <w:szCs w:val="16"/>
                <w:color w:val="343741"/>
              </w:rPr>
              <w:t>•</w:t>
            </w:r>
            <w:r>
              <w:rPr>
                <w:rFonts w:ascii="Times New Roman" w:cs="Times New Roman" w:eastAsia="Times New Roman" w:hAnsi="Times New Roman"/>
                <w:sz w:val="12"/>
                <w:szCs w:val="12"/>
                <w:color w:val="343741"/>
              </w:rPr>
              <w:t>Directly from you;</w:t>
            </w:r>
          </w:p>
        </w:tc>
        <w:tc>
          <w:tcPr>
            <w:tcW w:w="2620" w:type="dxa"/>
            <w:vAlign w:val="bottom"/>
            <w:tcBorders>
              <w:right w:val="single" w:sz="8" w:color="auto"/>
            </w:tcBorders>
          </w:tcPr>
          <w:p>
            <w:pPr>
              <w:spacing w:after="0" w:line="139" w:lineRule="exact"/>
              <w:rPr>
                <w:sz w:val="20"/>
                <w:szCs w:val="20"/>
                <w:color w:val="auto"/>
              </w:rPr>
            </w:pPr>
            <w:r>
              <w:rPr>
                <w:rFonts w:ascii="Times New Roman" w:cs="Times New Roman" w:eastAsia="Times New Roman" w:hAnsi="Times New Roman"/>
                <w:sz w:val="14"/>
                <w:szCs w:val="14"/>
                <w:color w:val="343741"/>
              </w:rPr>
              <w:t>•To provide you services;</w:t>
            </w:r>
          </w:p>
        </w:tc>
        <w:tc>
          <w:tcPr>
            <w:tcW w:w="346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343741"/>
              </w:rPr>
              <w:t>•Professional advisers, including depositories,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tcPr>
          <w:p>
            <w:pPr>
              <w:ind w:left="20"/>
              <w:spacing w:after="0" w:line="113" w:lineRule="exact"/>
              <w:rPr>
                <w:sz w:val="20"/>
                <w:szCs w:val="20"/>
                <w:color w:val="auto"/>
              </w:rPr>
            </w:pPr>
            <w:r>
              <w:rPr>
                <w:rFonts w:ascii="Times New Roman" w:cs="Times New Roman" w:eastAsia="Times New Roman" w:hAnsi="Times New Roman"/>
                <w:sz w:val="13"/>
                <w:szCs w:val="13"/>
                <w:color w:val="343741"/>
              </w:rPr>
              <w:t>as name, postal address, e- mail</w:t>
            </w:r>
          </w:p>
        </w:tc>
        <w:tc>
          <w:tcPr>
            <w:tcW w:w="258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343741"/>
              </w:rPr>
              <w:t>• To contact you to discuss the services or</w:t>
            </w:r>
          </w:p>
        </w:tc>
        <w:tc>
          <w:tcPr>
            <w:tcW w:w="3460" w:type="dxa"/>
            <w:vAlign w:val="bottom"/>
            <w:tcBorders>
              <w:right w:val="single" w:sz="8" w:color="auto"/>
            </w:tcBorders>
          </w:tcPr>
          <w:p>
            <w:pPr>
              <w:ind w:left="60"/>
              <w:spacing w:after="0" w:line="113" w:lineRule="exact"/>
              <w:rPr>
                <w:sz w:val="20"/>
                <w:szCs w:val="20"/>
                <w:color w:val="auto"/>
              </w:rPr>
            </w:pPr>
            <w:r>
              <w:rPr>
                <w:rFonts w:ascii="Times New Roman" w:cs="Times New Roman" w:eastAsia="Times New Roman" w:hAnsi="Times New Roman"/>
                <w:sz w:val="13"/>
                <w:szCs w:val="13"/>
                <w:color w:val="343741"/>
              </w:rPr>
              <w:t>administrators, custodians, investment advisers,</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0" w:type="dxa"/>
            <w:vAlign w:val="bottom"/>
            <w:tcBorders>
              <w:right w:val="single" w:sz="8" w:color="auto"/>
            </w:tcBorders>
          </w:tcPr>
          <w:p>
            <w:pPr>
              <w:spacing w:after="0"/>
              <w:rPr>
                <w:sz w:val="7"/>
                <w:szCs w:val="7"/>
                <w:color w:val="auto"/>
              </w:rPr>
            </w:pPr>
          </w:p>
        </w:tc>
        <w:tc>
          <w:tcPr>
            <w:tcW w:w="22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343741"/>
              </w:rPr>
              <w:t>address, phone number, account</w:t>
            </w:r>
          </w:p>
        </w:tc>
        <w:tc>
          <w:tcPr>
            <w:tcW w:w="2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Automatically when you use our website or</w:t>
            </w:r>
          </w:p>
        </w:tc>
        <w:tc>
          <w:tcPr>
            <w:tcW w:w="2620" w:type="dxa"/>
            <w:vAlign w:val="bottom"/>
            <w:tcBorders>
              <w:right w:val="single" w:sz="8" w:color="auto"/>
            </w:tcBorders>
            <w:vMerge w:val="continue"/>
          </w:tcPr>
          <w:p>
            <w:pPr>
              <w:spacing w:after="0"/>
              <w:rPr>
                <w:sz w:val="7"/>
                <w:szCs w:val="7"/>
                <w:color w:val="auto"/>
              </w:rPr>
            </w:pPr>
          </w:p>
        </w:tc>
        <w:tc>
          <w:tcPr>
            <w:tcW w:w="34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343741"/>
              </w:rPr>
              <w:t>accountancy and legal firms, in order to provide us with</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vMerge w:val="continue"/>
          </w:tcPr>
          <w:p>
            <w:pPr>
              <w:spacing w:after="0"/>
              <w:rPr>
                <w:sz w:val="12"/>
                <w:szCs w:val="12"/>
                <w:color w:val="auto"/>
              </w:rPr>
            </w:pPr>
          </w:p>
        </w:tc>
        <w:tc>
          <w:tcPr>
            <w:tcW w:w="2580" w:type="dxa"/>
            <w:vAlign w:val="bottom"/>
            <w:tcBorders>
              <w:right w:val="single" w:sz="8" w:color="auto"/>
            </w:tcBorders>
            <w:vMerge w:val="continue"/>
          </w:tcPr>
          <w:p>
            <w:pPr>
              <w:spacing w:after="0"/>
              <w:rPr>
                <w:sz w:val="12"/>
                <w:szCs w:val="12"/>
                <w:color w:val="auto"/>
              </w:rPr>
            </w:pPr>
          </w:p>
        </w:tc>
        <w:tc>
          <w:tcPr>
            <w:tcW w:w="2620" w:type="dxa"/>
            <w:vAlign w:val="bottom"/>
            <w:tcBorders>
              <w:right w:val="single" w:sz="8" w:color="auto"/>
            </w:tcBorders>
          </w:tcPr>
          <w:p>
            <w:pPr>
              <w:ind w:left="20"/>
              <w:spacing w:after="0" w:line="145" w:lineRule="exact"/>
              <w:rPr>
                <w:sz w:val="20"/>
                <w:szCs w:val="20"/>
                <w:color w:val="auto"/>
              </w:rPr>
            </w:pPr>
            <w:r>
              <w:rPr>
                <w:rFonts w:ascii="Times New Roman" w:cs="Times New Roman" w:eastAsia="Times New Roman" w:hAnsi="Times New Roman"/>
                <w:sz w:val="14"/>
                <w:szCs w:val="14"/>
                <w:color w:val="343741"/>
              </w:rPr>
              <w:t>products you receive from us;</w:t>
            </w:r>
          </w:p>
        </w:tc>
        <w:tc>
          <w:tcPr>
            <w:tcW w:w="346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tcPr>
          <w:p>
            <w:pPr>
              <w:ind w:left="20"/>
              <w:spacing w:after="0" w:line="108" w:lineRule="exact"/>
              <w:rPr>
                <w:sz w:val="20"/>
                <w:szCs w:val="20"/>
                <w:color w:val="auto"/>
              </w:rPr>
            </w:pPr>
            <w:r>
              <w:rPr>
                <w:rFonts w:ascii="Times New Roman" w:cs="Times New Roman" w:eastAsia="Times New Roman" w:hAnsi="Times New Roman"/>
                <w:sz w:val="12"/>
                <w:szCs w:val="12"/>
                <w:color w:val="343741"/>
              </w:rPr>
              <w:t>name, date of birth, social security</w:t>
            </w:r>
          </w:p>
        </w:tc>
        <w:tc>
          <w:tcPr>
            <w:tcW w:w="2580" w:type="dxa"/>
            <w:vAlign w:val="bottom"/>
            <w:tcBorders>
              <w:right w:val="single" w:sz="8" w:color="auto"/>
            </w:tcBorders>
          </w:tcPr>
          <w:p>
            <w:pPr>
              <w:ind w:left="20"/>
              <w:spacing w:after="0" w:line="108" w:lineRule="exact"/>
              <w:rPr>
                <w:sz w:val="20"/>
                <w:szCs w:val="20"/>
                <w:color w:val="auto"/>
              </w:rPr>
            </w:pPr>
            <w:r>
              <w:rPr>
                <w:rFonts w:ascii="Times New Roman" w:cs="Times New Roman" w:eastAsia="Times New Roman" w:hAnsi="Times New Roman"/>
                <w:sz w:val="12"/>
                <w:szCs w:val="12"/>
                <w:color w:val="343741"/>
              </w:rPr>
              <w:t>services;</w:t>
            </w:r>
          </w:p>
        </w:tc>
        <w:tc>
          <w:tcPr>
            <w:tcW w:w="26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343741"/>
              </w:rPr>
              <w:t>• To respond to any questions or concerns</w:t>
            </w:r>
          </w:p>
        </w:tc>
        <w:tc>
          <w:tcPr>
            <w:tcW w:w="3460" w:type="dxa"/>
            <w:vAlign w:val="bottom"/>
            <w:tcBorders>
              <w:right w:val="single" w:sz="8" w:color="auto"/>
            </w:tcBorders>
          </w:tcPr>
          <w:p>
            <w:pPr>
              <w:ind w:left="60"/>
              <w:spacing w:after="0" w:line="108" w:lineRule="exact"/>
              <w:rPr>
                <w:sz w:val="20"/>
                <w:szCs w:val="20"/>
                <w:color w:val="auto"/>
              </w:rPr>
            </w:pPr>
            <w:r>
              <w:rPr>
                <w:rFonts w:ascii="Times New Roman" w:cs="Times New Roman" w:eastAsia="Times New Roman" w:hAnsi="Times New Roman"/>
                <w:sz w:val="12"/>
                <w:szCs w:val="12"/>
                <w:color w:val="343741"/>
              </w:rPr>
              <w:t>advice and services;</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0" w:type="dxa"/>
            <w:vAlign w:val="bottom"/>
            <w:tcBorders>
              <w:right w:val="single" w:sz="8" w:color="auto"/>
            </w:tcBorders>
          </w:tcPr>
          <w:p>
            <w:pPr>
              <w:spacing w:after="0"/>
              <w:rPr>
                <w:sz w:val="11"/>
                <w:szCs w:val="11"/>
                <w:color w:val="auto"/>
              </w:rPr>
            </w:pPr>
          </w:p>
        </w:tc>
        <w:tc>
          <w:tcPr>
            <w:tcW w:w="2220" w:type="dxa"/>
            <w:vAlign w:val="bottom"/>
            <w:tcBorders>
              <w:right w:val="single" w:sz="8" w:color="auto"/>
            </w:tcBorders>
          </w:tcPr>
          <w:p>
            <w:pPr>
              <w:ind w:left="20"/>
              <w:spacing w:after="0" w:line="135" w:lineRule="exact"/>
              <w:rPr>
                <w:sz w:val="20"/>
                <w:szCs w:val="20"/>
                <w:color w:val="auto"/>
              </w:rPr>
            </w:pPr>
            <w:r>
              <w:rPr>
                <w:rFonts w:ascii="Times New Roman" w:cs="Times New Roman" w:eastAsia="Times New Roman" w:hAnsi="Times New Roman"/>
                <w:sz w:val="14"/>
                <w:szCs w:val="14"/>
                <w:color w:val="343741"/>
              </w:rPr>
              <w:t>number, driver’s license number,</w:t>
            </w:r>
          </w:p>
        </w:tc>
        <w:tc>
          <w:tcPr>
            <w:tcW w:w="2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From third parties; including business</w:t>
            </w:r>
          </w:p>
        </w:tc>
        <w:tc>
          <w:tcPr>
            <w:tcW w:w="2620" w:type="dxa"/>
            <w:vAlign w:val="bottom"/>
            <w:tcBorders>
              <w:right w:val="single" w:sz="8" w:color="auto"/>
            </w:tcBorders>
            <w:vMerge w:val="continue"/>
          </w:tcPr>
          <w:p>
            <w:pPr>
              <w:spacing w:after="0"/>
              <w:rPr>
                <w:sz w:val="11"/>
                <w:szCs w:val="11"/>
                <w:color w:val="auto"/>
              </w:rPr>
            </w:pPr>
          </w:p>
        </w:tc>
        <w:tc>
          <w:tcPr>
            <w:tcW w:w="3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343741"/>
              </w:rPr>
              <w:t>•Service providers, including to provide and support our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2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343741"/>
              </w:rPr>
              <w:t>photograph, passport number, or</w:t>
            </w:r>
          </w:p>
        </w:tc>
        <w:tc>
          <w:tcPr>
            <w:tcW w:w="2580" w:type="dxa"/>
            <w:vAlign w:val="bottom"/>
            <w:tcBorders>
              <w:right w:val="single" w:sz="8" w:color="auto"/>
            </w:tcBorders>
            <w:vMerge w:val="continue"/>
          </w:tcPr>
          <w:p>
            <w:pPr>
              <w:spacing w:after="0"/>
              <w:rPr>
                <w:sz w:val="5"/>
                <w:szCs w:val="5"/>
                <w:color w:val="auto"/>
              </w:rPr>
            </w:pPr>
          </w:p>
        </w:tc>
        <w:tc>
          <w:tcPr>
            <w:tcW w:w="26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343741"/>
              </w:rPr>
              <w:t>you have raised;</w:t>
            </w:r>
          </w:p>
        </w:tc>
        <w:tc>
          <w:tcPr>
            <w:tcW w:w="3460" w:type="dxa"/>
            <w:vAlign w:val="bottom"/>
            <w:tcBorders>
              <w:right w:val="single" w:sz="8" w:color="auto"/>
            </w:tcBorders>
            <w:vMerge w:val="continue"/>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vMerge w:val="continue"/>
          </w:tcPr>
          <w:p>
            <w:pPr>
              <w:spacing w:after="0"/>
              <w:rPr>
                <w:sz w:val="12"/>
                <w:szCs w:val="12"/>
                <w:color w:val="auto"/>
              </w:rPr>
            </w:pPr>
          </w:p>
        </w:tc>
        <w:tc>
          <w:tcPr>
            <w:tcW w:w="2580" w:type="dxa"/>
            <w:vAlign w:val="bottom"/>
            <w:tcBorders>
              <w:right w:val="single" w:sz="8" w:color="auto"/>
            </w:tcBorders>
            <w:vMerge w:val="continue"/>
          </w:tcPr>
          <w:p>
            <w:pPr>
              <w:spacing w:after="0"/>
              <w:rPr>
                <w:sz w:val="12"/>
                <w:szCs w:val="12"/>
                <w:color w:val="auto"/>
              </w:rPr>
            </w:pPr>
          </w:p>
        </w:tc>
        <w:tc>
          <w:tcPr>
            <w:tcW w:w="2620" w:type="dxa"/>
            <w:vAlign w:val="bottom"/>
            <w:tcBorders>
              <w:right w:val="single" w:sz="8" w:color="auto"/>
            </w:tcBorders>
            <w:vMerge w:val="continue"/>
          </w:tcPr>
          <w:p>
            <w:pPr>
              <w:spacing w:after="0"/>
              <w:rPr>
                <w:sz w:val="12"/>
                <w:szCs w:val="12"/>
                <w:color w:val="auto"/>
              </w:rPr>
            </w:pPr>
          </w:p>
        </w:tc>
        <w:tc>
          <w:tcPr>
            <w:tcW w:w="3460" w:type="dxa"/>
            <w:vAlign w:val="bottom"/>
            <w:tcBorders>
              <w:right w:val="single" w:sz="8" w:color="auto"/>
            </w:tcBorders>
          </w:tcPr>
          <w:p>
            <w:pPr>
              <w:ind w:left="60"/>
              <w:spacing w:after="0" w:line="145" w:lineRule="exact"/>
              <w:rPr>
                <w:sz w:val="20"/>
                <w:szCs w:val="20"/>
                <w:color w:val="auto"/>
              </w:rPr>
            </w:pPr>
            <w:r>
              <w:rPr>
                <w:rFonts w:ascii="Times New Roman" w:cs="Times New Roman" w:eastAsia="Times New Roman" w:hAnsi="Times New Roman"/>
                <w:sz w:val="14"/>
                <w:szCs w:val="14"/>
                <w:color w:val="343741"/>
              </w:rPr>
              <w:t>data management, analytics, security, background and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0" w:type="dxa"/>
            <w:vAlign w:val="bottom"/>
            <w:tcBorders>
              <w:right w:val="single" w:sz="8" w:color="auto"/>
            </w:tcBorders>
          </w:tcPr>
          <w:p>
            <w:pPr>
              <w:spacing w:after="0"/>
              <w:rPr>
                <w:sz w:val="15"/>
                <w:szCs w:val="15"/>
                <w:color w:val="auto"/>
              </w:rPr>
            </w:pP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343741"/>
              </w:rPr>
              <w:t>other similar identifiers</w:t>
            </w:r>
          </w:p>
        </w:tc>
        <w:tc>
          <w:tcPr>
            <w:tcW w:w="2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343741"/>
              </w:rPr>
              <w:t>partners, your employer, tax authorities and</w:t>
            </w:r>
          </w:p>
        </w:tc>
        <w:tc>
          <w:tcPr>
            <w:tcW w:w="2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343741"/>
              </w:rPr>
              <w:t>• To deal with administrative matters such as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343741"/>
              </w:rPr>
              <w:t>credit checks, and storage systems;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i w:val="1"/>
                <w:iCs w:val="1"/>
                <w:color w:val="343741"/>
              </w:rPr>
              <w:t>NOTE: The information in this</w:t>
            </w:r>
          </w:p>
        </w:tc>
        <w:tc>
          <w:tcPr>
            <w:tcW w:w="2580" w:type="dxa"/>
            <w:vAlign w:val="bottom"/>
            <w:tcBorders>
              <w:right w:val="single" w:sz="8" w:color="auto"/>
            </w:tcBorders>
          </w:tcPr>
          <w:p>
            <w:pPr>
              <w:ind w:left="20"/>
              <w:spacing w:after="0" w:line="157" w:lineRule="exact"/>
              <w:rPr>
                <w:sz w:val="20"/>
                <w:szCs w:val="20"/>
                <w:color w:val="auto"/>
              </w:rPr>
            </w:pPr>
            <w:r>
              <w:rPr>
                <w:rFonts w:ascii="Times New Roman" w:cs="Times New Roman" w:eastAsia="Times New Roman" w:hAnsi="Times New Roman"/>
                <w:sz w:val="14"/>
                <w:szCs w:val="14"/>
                <w:color w:val="343741"/>
              </w:rPr>
              <w:t>background/credit check providers; and</w:t>
            </w:r>
          </w:p>
        </w:tc>
        <w:tc>
          <w:tcPr>
            <w:tcW w:w="26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343741"/>
              </w:rPr>
              <w:t>capital calls or redemptions;</w:t>
            </w:r>
          </w:p>
        </w:tc>
        <w:tc>
          <w:tcPr>
            <w:tcW w:w="3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343741"/>
              </w:rPr>
              <w:t>•Group companies, for business, marketing and operational</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2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vMerge w:val="continue"/>
          </w:tcPr>
          <w:p>
            <w:pPr>
              <w:spacing w:after="0"/>
              <w:rPr>
                <w:sz w:val="5"/>
                <w:szCs w:val="5"/>
                <w:color w:val="auto"/>
              </w:rPr>
            </w:pPr>
          </w:p>
        </w:tc>
        <w:tc>
          <w:tcPr>
            <w:tcW w:w="2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Publicly available sources</w:t>
            </w:r>
          </w:p>
        </w:tc>
        <w:tc>
          <w:tcPr>
            <w:tcW w:w="2620" w:type="dxa"/>
            <w:vAlign w:val="bottom"/>
            <w:tcBorders>
              <w:right w:val="single" w:sz="8" w:color="auto"/>
            </w:tcBorders>
            <w:vMerge w:val="continue"/>
          </w:tcPr>
          <w:p>
            <w:pPr>
              <w:spacing w:after="0"/>
              <w:rPr>
                <w:sz w:val="5"/>
                <w:szCs w:val="5"/>
                <w:color w:val="auto"/>
              </w:rPr>
            </w:pPr>
          </w:p>
        </w:tc>
        <w:tc>
          <w:tcPr>
            <w:tcW w:w="3460" w:type="dxa"/>
            <w:vAlign w:val="bottom"/>
            <w:tcBorders>
              <w:right w:val="single" w:sz="8" w:color="auto"/>
            </w:tcBorders>
            <w:vMerge w:val="continue"/>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343741"/>
              </w:rPr>
              <w:t>category may include the following</w:t>
            </w:r>
          </w:p>
        </w:tc>
        <w:tc>
          <w:tcPr>
            <w:tcW w:w="2580" w:type="dxa"/>
            <w:vAlign w:val="bottom"/>
            <w:tcBorders>
              <w:right w:val="single" w:sz="8" w:color="auto"/>
            </w:tcBorders>
            <w:vMerge w:val="continue"/>
          </w:tcPr>
          <w:p>
            <w:pPr>
              <w:spacing w:after="0"/>
              <w:rPr>
                <w:sz w:val="14"/>
                <w:szCs w:val="14"/>
                <w:color w:val="auto"/>
              </w:rPr>
            </w:pPr>
          </w:p>
        </w:tc>
        <w:tc>
          <w:tcPr>
            <w:tcW w:w="2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343741"/>
              </w:rPr>
              <w:t>• To perform services on our behalf, such as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343741"/>
              </w:rPr>
              <w:t>purposes;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343741"/>
              </w:rPr>
              <w:t>elements as defined as Sensitive</w:t>
            </w:r>
          </w:p>
        </w:tc>
        <w:tc>
          <w:tcPr>
            <w:tcW w:w="258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343741"/>
              </w:rPr>
              <w:t>customer service, processing or fulfilling</w:t>
            </w:r>
          </w:p>
        </w:tc>
        <w:tc>
          <w:tcPr>
            <w:tcW w:w="3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343741"/>
              </w:rPr>
              <w:t>•Transaction (merger and acquisition) partners, including</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tcPr>
          <w:p>
            <w:pPr>
              <w:ind w:left="20"/>
              <w:spacing w:after="0" w:line="108" w:lineRule="exact"/>
              <w:rPr>
                <w:sz w:val="20"/>
                <w:szCs w:val="20"/>
                <w:color w:val="auto"/>
              </w:rPr>
            </w:pPr>
            <w:r>
              <w:rPr>
                <w:rFonts w:ascii="Times New Roman" w:cs="Times New Roman" w:eastAsia="Times New Roman" w:hAnsi="Times New Roman"/>
                <w:sz w:val="12"/>
                <w:szCs w:val="12"/>
                <w:i w:val="1"/>
                <w:iCs w:val="1"/>
                <w:color w:val="343741"/>
              </w:rPr>
              <w:t>Personal Information in the Act:</w:t>
            </w:r>
          </w:p>
        </w:tc>
        <w:tc>
          <w:tcPr>
            <w:tcW w:w="258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ind w:left="20"/>
              <w:spacing w:after="0" w:line="108" w:lineRule="exact"/>
              <w:rPr>
                <w:sz w:val="20"/>
                <w:szCs w:val="20"/>
                <w:color w:val="auto"/>
              </w:rPr>
            </w:pPr>
            <w:r>
              <w:rPr>
                <w:rFonts w:ascii="Times New Roman" w:cs="Times New Roman" w:eastAsia="Times New Roman" w:hAnsi="Times New Roman"/>
                <w:sz w:val="12"/>
                <w:szCs w:val="12"/>
                <w:color w:val="343741"/>
              </w:rPr>
              <w:t>orders;</w:t>
            </w:r>
          </w:p>
        </w:tc>
        <w:tc>
          <w:tcPr>
            <w:tcW w:w="346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343741"/>
              </w:rPr>
              <w:t>social security number, driver’s</w:t>
            </w:r>
          </w:p>
        </w:tc>
        <w:tc>
          <w:tcPr>
            <w:tcW w:w="258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343741"/>
              </w:rPr>
              <w:t>• To otherwise carry out our obligations</w:t>
            </w:r>
          </w:p>
        </w:tc>
        <w:tc>
          <w:tcPr>
            <w:tcW w:w="346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343741"/>
              </w:rPr>
              <w:t>to facilitate the diligence, negotiation, and completion</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343741"/>
              </w:rPr>
              <w:t>license number, state identification</w:t>
            </w:r>
          </w:p>
        </w:tc>
        <w:tc>
          <w:tcPr>
            <w:tcW w:w="258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vMerge w:val="continue"/>
          </w:tcPr>
          <w:p>
            <w:pPr>
              <w:spacing w:after="0"/>
              <w:rPr>
                <w:sz w:val="12"/>
                <w:szCs w:val="12"/>
                <w:color w:val="auto"/>
              </w:rPr>
            </w:pPr>
          </w:p>
        </w:tc>
        <w:tc>
          <w:tcPr>
            <w:tcW w:w="346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343741"/>
              </w:rPr>
              <w:t>phases of transactions contemplated by us, our parent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343741"/>
              </w:rPr>
              <w:t>card number, and/or passport</w:t>
            </w:r>
          </w:p>
        </w:tc>
        <w:tc>
          <w:tcPr>
            <w:tcW w:w="258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343741"/>
              </w:rPr>
              <w:t>arising under our contract with you and to</w:t>
            </w:r>
          </w:p>
        </w:tc>
        <w:tc>
          <w:tcPr>
            <w:tcW w:w="346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343741"/>
              </w:rPr>
              <w:t>company, or affiliated operating companies; and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343741"/>
              </w:rPr>
              <w:t>number.</w:t>
            </w:r>
          </w:p>
        </w:tc>
        <w:tc>
          <w:tcPr>
            <w:tcW w:w="25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343741"/>
              </w:rPr>
              <w:t>enforce the same;</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343741"/>
              </w:rPr>
              <w:t>•Government authorities or other entities with legal</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0" w:type="dxa"/>
            <w:vAlign w:val="bottom"/>
            <w:tcBorders>
              <w:right w:val="single" w:sz="8" w:color="auto"/>
            </w:tcBorders>
          </w:tcPr>
          <w:p>
            <w:pPr>
              <w:spacing w:after="0"/>
              <w:rPr>
                <w:sz w:val="15"/>
                <w:szCs w:val="15"/>
                <w:color w:val="auto"/>
              </w:rPr>
            </w:pPr>
          </w:p>
        </w:tc>
        <w:tc>
          <w:tcPr>
            <w:tcW w:w="222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343741"/>
              </w:rPr>
              <w:t>• To carry out anti-money laundering and</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343741"/>
              </w:rPr>
              <w:t>authority to request the information</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343741"/>
              </w:rPr>
              <w:t>other compliance checks and controls;</w:t>
            </w:r>
          </w:p>
        </w:tc>
        <w:tc>
          <w:tcPr>
            <w:tcW w:w="34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343741"/>
              </w:rPr>
              <w:t>• To verify your identity or for other fraud</w:t>
            </w:r>
          </w:p>
        </w:tc>
        <w:tc>
          <w:tcPr>
            <w:tcW w:w="34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343741"/>
              </w:rPr>
              <w:t>and/or crime prevention;</w:t>
            </w:r>
          </w:p>
        </w:tc>
        <w:tc>
          <w:tcPr>
            <w:tcW w:w="34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tcPr>
          <w:p>
            <w:pPr>
              <w:spacing w:after="0"/>
              <w:rPr>
                <w:sz w:val="21"/>
                <w:szCs w:val="21"/>
                <w:color w:val="auto"/>
              </w:rPr>
            </w:pPr>
          </w:p>
        </w:tc>
        <w:tc>
          <w:tcPr>
            <w:tcW w:w="2580" w:type="dxa"/>
            <w:vAlign w:val="bottom"/>
            <w:tcBorders>
              <w:right w:val="single" w:sz="8" w:color="auto"/>
            </w:tcBorders>
          </w:tcPr>
          <w:p>
            <w:pPr>
              <w:spacing w:after="0"/>
              <w:rPr>
                <w:sz w:val="21"/>
                <w:szCs w:val="21"/>
                <w:color w:val="auto"/>
              </w:rPr>
            </w:pPr>
          </w:p>
        </w:tc>
        <w:tc>
          <w:tcPr>
            <w:tcW w:w="2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343741"/>
              </w:rPr>
              <w:t>• To debug errors in our systems;</w:t>
            </w:r>
          </w:p>
        </w:tc>
        <w:tc>
          <w:tcPr>
            <w:tcW w:w="346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343741"/>
              </w:rPr>
              <w:t>• For marketing and advertising purposes;</w:t>
            </w:r>
          </w:p>
        </w:tc>
        <w:tc>
          <w:tcPr>
            <w:tcW w:w="34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343741"/>
              </w:rPr>
              <w:t>and</w:t>
            </w:r>
          </w:p>
        </w:tc>
        <w:tc>
          <w:tcPr>
            <w:tcW w:w="34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343741"/>
              </w:rPr>
              <w:t>• For internal research, analytics and</w:t>
            </w:r>
          </w:p>
        </w:tc>
        <w:tc>
          <w:tcPr>
            <w:tcW w:w="34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343741"/>
              </w:rPr>
              <w:t>development</w:t>
            </w:r>
          </w:p>
        </w:tc>
        <w:tc>
          <w:tcPr>
            <w:tcW w:w="34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4"/>
        </w:trPr>
        <w:tc>
          <w:tcPr>
            <w:tcW w:w="200" w:type="dxa"/>
            <w:vAlign w:val="bottom"/>
            <w:tcBorders>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c>
          <w:tcPr>
            <w:tcW w:w="1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202429"/>
              </w:rPr>
              <w:t>Protected status – such as</w:t>
            </w:r>
          </w:p>
        </w:tc>
        <w:tc>
          <w:tcPr>
            <w:tcW w:w="2580" w:type="dxa"/>
            <w:vAlign w:val="bottom"/>
            <w:tcBorders>
              <w:right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Directly from you;</w:t>
            </w:r>
          </w:p>
        </w:tc>
        <w:tc>
          <w:tcPr>
            <w:tcW w:w="2620" w:type="dxa"/>
            <w:vAlign w:val="bottom"/>
            <w:tcBorders>
              <w:right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343741"/>
              </w:rPr>
              <w:t>•To provide you services;</w:t>
            </w:r>
          </w:p>
        </w:tc>
        <w:tc>
          <w:tcPr>
            <w:tcW w:w="3460" w:type="dxa"/>
            <w:vAlign w:val="bottom"/>
            <w:tcBorders>
              <w:right w:val="single" w:sz="8" w:color="auto"/>
            </w:tcBorders>
          </w:tcPr>
          <w:p>
            <w:pPr>
              <w:ind w:left="20"/>
              <w:spacing w:after="0" w:line="156"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Professional advisers, including depositories,</w:t>
            </w: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202429"/>
              </w:rPr>
              <w:t>citizenship, ethnic background,</w:t>
            </w:r>
          </w:p>
        </w:tc>
        <w:tc>
          <w:tcPr>
            <w:tcW w:w="258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343741"/>
              </w:rPr>
              <w:t>• To contact you to discuss the services or</w:t>
            </w:r>
          </w:p>
        </w:tc>
        <w:tc>
          <w:tcPr>
            <w:tcW w:w="346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343741"/>
              </w:rPr>
              <w:t>administrators, custodians, investment advisers,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02429"/>
              </w:rPr>
              <w:t xml:space="preserve">gender </w:t>
            </w:r>
            <w:r>
              <w:rPr>
                <w:rFonts w:ascii="Times New Roman" w:cs="Times New Roman" w:eastAsia="Times New Roman" w:hAnsi="Times New Roman"/>
                <w:sz w:val="14"/>
                <w:szCs w:val="14"/>
                <w:color w:val="343741"/>
              </w:rPr>
              <w:t>or other similar identifiers</w:t>
            </w:r>
          </w:p>
        </w:tc>
        <w:tc>
          <w:tcPr>
            <w:tcW w:w="258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From third parties; including business</w:t>
            </w:r>
          </w:p>
        </w:tc>
        <w:tc>
          <w:tcPr>
            <w:tcW w:w="2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343741"/>
              </w:rPr>
              <w:t>products you receive from us;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343741"/>
              </w:rPr>
              <w:t>accountancy and legal firms, in order to provide us with</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0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i w:val="1"/>
                <w:iCs w:val="1"/>
                <w:color w:val="343741"/>
              </w:rPr>
              <w:t>NOTE: The information in this</w:t>
            </w:r>
          </w:p>
        </w:tc>
        <w:tc>
          <w:tcPr>
            <w:tcW w:w="2580" w:type="dxa"/>
            <w:vAlign w:val="bottom"/>
            <w:tcBorders>
              <w:right w:val="single" w:sz="8" w:color="auto"/>
            </w:tcBorders>
          </w:tcPr>
          <w:p>
            <w:pPr>
              <w:ind w:left="20"/>
              <w:spacing w:after="0" w:line="113" w:lineRule="exact"/>
              <w:rPr>
                <w:sz w:val="20"/>
                <w:szCs w:val="20"/>
                <w:color w:val="auto"/>
              </w:rPr>
            </w:pPr>
            <w:r>
              <w:rPr>
                <w:rFonts w:ascii="Times New Roman" w:cs="Times New Roman" w:eastAsia="Times New Roman" w:hAnsi="Times New Roman"/>
                <w:sz w:val="13"/>
                <w:szCs w:val="13"/>
                <w:color w:val="343741"/>
              </w:rPr>
              <w:t>partners, your employer and</w:t>
            </w:r>
          </w:p>
        </w:tc>
        <w:tc>
          <w:tcPr>
            <w:tcW w:w="26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343741"/>
              </w:rPr>
              <w:t>• To respond to any questions or concerns</w:t>
            </w:r>
          </w:p>
        </w:tc>
        <w:tc>
          <w:tcPr>
            <w:tcW w:w="3460" w:type="dxa"/>
            <w:vAlign w:val="bottom"/>
            <w:tcBorders>
              <w:right w:val="single" w:sz="8" w:color="auto"/>
            </w:tcBorders>
          </w:tcPr>
          <w:p>
            <w:pPr>
              <w:ind w:left="60"/>
              <w:spacing w:after="0" w:line="113" w:lineRule="exact"/>
              <w:rPr>
                <w:sz w:val="20"/>
                <w:szCs w:val="20"/>
                <w:color w:val="auto"/>
              </w:rPr>
            </w:pPr>
            <w:r>
              <w:rPr>
                <w:rFonts w:ascii="Times New Roman" w:cs="Times New Roman" w:eastAsia="Times New Roman" w:hAnsi="Times New Roman"/>
                <w:sz w:val="13"/>
                <w:szCs w:val="13"/>
                <w:color w:val="343741"/>
              </w:rPr>
              <w:t>advice and services;</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vMerge w:val="continue"/>
          </w:tcPr>
          <w:p>
            <w:pPr>
              <w:spacing w:after="0"/>
              <w:rPr>
                <w:sz w:val="12"/>
                <w:szCs w:val="12"/>
                <w:color w:val="auto"/>
              </w:rPr>
            </w:pPr>
          </w:p>
        </w:tc>
        <w:tc>
          <w:tcPr>
            <w:tcW w:w="2580" w:type="dxa"/>
            <w:vAlign w:val="bottom"/>
            <w:tcBorders>
              <w:right w:val="single" w:sz="8" w:color="auto"/>
            </w:tcBorders>
          </w:tcPr>
          <w:p>
            <w:pPr>
              <w:ind w:left="20"/>
              <w:spacing w:after="0" w:line="145" w:lineRule="exact"/>
              <w:rPr>
                <w:sz w:val="20"/>
                <w:szCs w:val="20"/>
                <w:color w:val="auto"/>
              </w:rPr>
            </w:pPr>
            <w:r>
              <w:rPr>
                <w:rFonts w:ascii="Times New Roman" w:cs="Times New Roman" w:eastAsia="Times New Roman" w:hAnsi="Times New Roman"/>
                <w:sz w:val="14"/>
                <w:szCs w:val="14"/>
                <w:color w:val="343741"/>
              </w:rPr>
              <w:t>background/credit check providers; and</w:t>
            </w:r>
          </w:p>
        </w:tc>
        <w:tc>
          <w:tcPr>
            <w:tcW w:w="2620" w:type="dxa"/>
            <w:vAlign w:val="bottom"/>
            <w:tcBorders>
              <w:right w:val="single" w:sz="8" w:color="auto"/>
            </w:tcBorders>
            <w:vMerge w:val="continue"/>
          </w:tcPr>
          <w:p>
            <w:pPr>
              <w:spacing w:after="0"/>
              <w:rPr>
                <w:sz w:val="12"/>
                <w:szCs w:val="12"/>
                <w:color w:val="auto"/>
              </w:rPr>
            </w:pPr>
          </w:p>
        </w:tc>
        <w:tc>
          <w:tcPr>
            <w:tcW w:w="3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Service providers, including to provide and support our</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0" w:type="dxa"/>
            <w:vAlign w:val="bottom"/>
            <w:tcBorders>
              <w:right w:val="single" w:sz="8" w:color="auto"/>
            </w:tcBorders>
          </w:tcPr>
          <w:p>
            <w:pPr>
              <w:spacing w:after="0"/>
              <w:rPr>
                <w:sz w:val="10"/>
                <w:szCs w:val="10"/>
                <w:color w:val="auto"/>
              </w:rPr>
            </w:pPr>
          </w:p>
        </w:tc>
        <w:tc>
          <w:tcPr>
            <w:tcW w:w="2220" w:type="dxa"/>
            <w:vAlign w:val="bottom"/>
            <w:tcBorders>
              <w:right w:val="single" w:sz="8" w:color="auto"/>
            </w:tcBorders>
          </w:tcPr>
          <w:p>
            <w:pPr>
              <w:ind w:left="20"/>
              <w:spacing w:after="0" w:line="124" w:lineRule="exact"/>
              <w:rPr>
                <w:sz w:val="20"/>
                <w:szCs w:val="20"/>
                <w:color w:val="auto"/>
              </w:rPr>
            </w:pPr>
            <w:r>
              <w:rPr>
                <w:rFonts w:ascii="Times New Roman" w:cs="Times New Roman" w:eastAsia="Times New Roman" w:hAnsi="Times New Roman"/>
                <w:sz w:val="14"/>
                <w:szCs w:val="14"/>
                <w:i w:val="1"/>
                <w:iCs w:val="1"/>
                <w:color w:val="343741"/>
              </w:rPr>
              <w:t>category may include the following</w:t>
            </w:r>
          </w:p>
        </w:tc>
        <w:tc>
          <w:tcPr>
            <w:tcW w:w="25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Publicly available sources</w:t>
            </w:r>
          </w:p>
        </w:tc>
        <w:tc>
          <w:tcPr>
            <w:tcW w:w="2620" w:type="dxa"/>
            <w:vAlign w:val="bottom"/>
            <w:tcBorders>
              <w:right w:val="single" w:sz="8" w:color="auto"/>
            </w:tcBorders>
          </w:tcPr>
          <w:p>
            <w:pPr>
              <w:ind w:left="20"/>
              <w:spacing w:after="0" w:line="124" w:lineRule="exact"/>
              <w:rPr>
                <w:sz w:val="20"/>
                <w:szCs w:val="20"/>
                <w:color w:val="auto"/>
              </w:rPr>
            </w:pPr>
            <w:r>
              <w:rPr>
                <w:rFonts w:ascii="Times New Roman" w:cs="Times New Roman" w:eastAsia="Times New Roman" w:hAnsi="Times New Roman"/>
                <w:sz w:val="14"/>
                <w:szCs w:val="14"/>
                <w:color w:val="343741"/>
              </w:rPr>
              <w:t>you have raised;</w:t>
            </w:r>
          </w:p>
        </w:tc>
        <w:tc>
          <w:tcPr>
            <w:tcW w:w="346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i w:val="1"/>
                <w:iCs w:val="1"/>
                <w:color w:val="343741"/>
              </w:rPr>
              <w:t>elements as defined as Sensitive</w:t>
            </w:r>
          </w:p>
        </w:tc>
        <w:tc>
          <w:tcPr>
            <w:tcW w:w="2580" w:type="dxa"/>
            <w:vAlign w:val="bottom"/>
            <w:tcBorders>
              <w:right w:val="single" w:sz="8" w:color="auto"/>
            </w:tcBorders>
            <w:vMerge w:val="continue"/>
          </w:tcPr>
          <w:p>
            <w:pPr>
              <w:spacing w:after="0"/>
              <w:rPr>
                <w:sz w:val="13"/>
                <w:szCs w:val="13"/>
                <w:color w:val="auto"/>
              </w:rPr>
            </w:pPr>
          </w:p>
        </w:tc>
        <w:tc>
          <w:tcPr>
            <w:tcW w:w="26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343741"/>
              </w:rPr>
              <w:t>• To deal with administrative matters;</w:t>
            </w:r>
          </w:p>
        </w:tc>
        <w:tc>
          <w:tcPr>
            <w:tcW w:w="3460" w:type="dxa"/>
            <w:vAlign w:val="bottom"/>
            <w:tcBorders>
              <w:right w:val="single" w:sz="8" w:color="auto"/>
            </w:tcBorders>
          </w:tcPr>
          <w:p>
            <w:pPr>
              <w:ind w:left="60"/>
              <w:spacing w:after="0" w:line="160" w:lineRule="exact"/>
              <w:rPr>
                <w:sz w:val="20"/>
                <w:szCs w:val="20"/>
                <w:color w:val="auto"/>
              </w:rPr>
            </w:pPr>
            <w:r>
              <w:rPr>
                <w:rFonts w:ascii="Times New Roman" w:cs="Times New Roman" w:eastAsia="Times New Roman" w:hAnsi="Times New Roman"/>
                <w:sz w:val="14"/>
                <w:szCs w:val="14"/>
                <w:color w:val="343741"/>
              </w:rPr>
              <w:t>data management, analytics, security, background and</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0" w:type="dxa"/>
            <w:vAlign w:val="bottom"/>
            <w:tcBorders>
              <w:right w:val="single" w:sz="8" w:color="auto"/>
            </w:tcBorders>
          </w:tcPr>
          <w:p>
            <w:pPr>
              <w:spacing w:after="0"/>
              <w:rPr>
                <w:sz w:val="11"/>
                <w:szCs w:val="11"/>
                <w:color w:val="auto"/>
              </w:rPr>
            </w:pPr>
          </w:p>
        </w:tc>
        <w:tc>
          <w:tcPr>
            <w:tcW w:w="2220" w:type="dxa"/>
            <w:vAlign w:val="bottom"/>
            <w:tcBorders>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i w:val="1"/>
                <w:iCs w:val="1"/>
                <w:color w:val="343741"/>
              </w:rPr>
              <w:t>Personal Information in the Act:</w:t>
            </w:r>
          </w:p>
        </w:tc>
        <w:tc>
          <w:tcPr>
            <w:tcW w:w="258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vMerge w:val="continue"/>
          </w:tcPr>
          <w:p>
            <w:pPr>
              <w:spacing w:after="0"/>
              <w:rPr>
                <w:sz w:val="11"/>
                <w:szCs w:val="11"/>
                <w:color w:val="auto"/>
              </w:rPr>
            </w:pPr>
          </w:p>
        </w:tc>
        <w:tc>
          <w:tcPr>
            <w:tcW w:w="3460" w:type="dxa"/>
            <w:vAlign w:val="bottom"/>
            <w:tcBorders>
              <w:right w:val="single" w:sz="8" w:color="auto"/>
            </w:tcBorders>
          </w:tcPr>
          <w:p>
            <w:pPr>
              <w:ind w:left="60"/>
              <w:spacing w:after="0" w:line="137" w:lineRule="exact"/>
              <w:rPr>
                <w:sz w:val="20"/>
                <w:szCs w:val="20"/>
                <w:color w:val="auto"/>
              </w:rPr>
            </w:pPr>
            <w:r>
              <w:rPr>
                <w:rFonts w:ascii="Times New Roman" w:cs="Times New Roman" w:eastAsia="Times New Roman" w:hAnsi="Times New Roman"/>
                <w:sz w:val="14"/>
                <w:szCs w:val="14"/>
                <w:color w:val="343741"/>
              </w:rPr>
              <w:t>credit checks, and storage systems;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2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343741"/>
              </w:rPr>
              <w:t>racial, ethnic, or national origin.</w:t>
            </w:r>
          </w:p>
        </w:tc>
        <w:tc>
          <w:tcPr>
            <w:tcW w:w="258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343741"/>
              </w:rPr>
              <w:t>• To perform services on our behalf;</w:t>
            </w:r>
          </w:p>
        </w:tc>
        <w:tc>
          <w:tcPr>
            <w:tcW w:w="3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Group companies, for business, marketing and operational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tcPr>
          <w:p>
            <w:pPr>
              <w:spacing w:after="0"/>
              <w:rPr>
                <w:sz w:val="5"/>
                <w:szCs w:val="5"/>
                <w:color w:val="auto"/>
              </w:rPr>
            </w:pPr>
          </w:p>
        </w:tc>
        <w:tc>
          <w:tcPr>
            <w:tcW w:w="2580" w:type="dxa"/>
            <w:vAlign w:val="bottom"/>
            <w:tcBorders>
              <w:right w:val="single" w:sz="8" w:color="auto"/>
            </w:tcBorders>
          </w:tcPr>
          <w:p>
            <w:pPr>
              <w:spacing w:after="0"/>
              <w:rPr>
                <w:sz w:val="5"/>
                <w:szCs w:val="5"/>
                <w:color w:val="auto"/>
              </w:rPr>
            </w:pPr>
          </w:p>
        </w:tc>
        <w:tc>
          <w:tcPr>
            <w:tcW w:w="26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343741"/>
              </w:rPr>
              <w:t>• To otherwise carry out our obligations</w:t>
            </w:r>
          </w:p>
        </w:tc>
        <w:tc>
          <w:tcPr>
            <w:tcW w:w="3460" w:type="dxa"/>
            <w:vAlign w:val="bottom"/>
            <w:tcBorders>
              <w:right w:val="single" w:sz="8" w:color="auto"/>
            </w:tcBorders>
            <w:vMerge w:val="continue"/>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tcPr>
          <w:p>
            <w:pPr>
              <w:spacing w:after="0"/>
              <w:rPr>
                <w:sz w:val="12"/>
                <w:szCs w:val="12"/>
                <w:color w:val="auto"/>
              </w:rPr>
            </w:pPr>
          </w:p>
        </w:tc>
        <w:tc>
          <w:tcPr>
            <w:tcW w:w="258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vMerge w:val="continue"/>
          </w:tcPr>
          <w:p>
            <w:pPr>
              <w:spacing w:after="0"/>
              <w:rPr>
                <w:sz w:val="12"/>
                <w:szCs w:val="12"/>
                <w:color w:val="auto"/>
              </w:rPr>
            </w:pPr>
          </w:p>
        </w:tc>
        <w:tc>
          <w:tcPr>
            <w:tcW w:w="3460" w:type="dxa"/>
            <w:vAlign w:val="bottom"/>
            <w:tcBorders>
              <w:right w:val="single" w:sz="8" w:color="auto"/>
            </w:tcBorders>
          </w:tcPr>
          <w:p>
            <w:pPr>
              <w:ind w:left="60"/>
              <w:spacing w:after="0" w:line="145" w:lineRule="exact"/>
              <w:rPr>
                <w:sz w:val="20"/>
                <w:szCs w:val="20"/>
                <w:color w:val="auto"/>
              </w:rPr>
            </w:pPr>
            <w:r>
              <w:rPr>
                <w:rFonts w:ascii="Times New Roman" w:cs="Times New Roman" w:eastAsia="Times New Roman" w:hAnsi="Times New Roman"/>
                <w:sz w:val="14"/>
                <w:szCs w:val="14"/>
                <w:color w:val="343741"/>
              </w:rPr>
              <w:t>purposes;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tcPr>
          <w:p>
            <w:pPr>
              <w:spacing w:after="0"/>
              <w:rPr>
                <w:sz w:val="12"/>
                <w:szCs w:val="12"/>
                <w:color w:val="auto"/>
              </w:rPr>
            </w:pPr>
          </w:p>
        </w:tc>
        <w:tc>
          <w:tcPr>
            <w:tcW w:w="258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343741"/>
              </w:rPr>
              <w:t>arising under our contract with you and to</w:t>
            </w:r>
          </w:p>
        </w:tc>
        <w:tc>
          <w:tcPr>
            <w:tcW w:w="3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Transaction (merger and acquisition) partners, including</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tcPr>
          <w:p>
            <w:pPr>
              <w:spacing w:after="0"/>
              <w:rPr>
                <w:sz w:val="12"/>
                <w:szCs w:val="12"/>
                <w:color w:val="auto"/>
              </w:rPr>
            </w:pPr>
          </w:p>
        </w:tc>
        <w:tc>
          <w:tcPr>
            <w:tcW w:w="258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ind w:left="20"/>
              <w:spacing w:after="0" w:line="145" w:lineRule="exact"/>
              <w:rPr>
                <w:sz w:val="20"/>
                <w:szCs w:val="20"/>
                <w:color w:val="auto"/>
              </w:rPr>
            </w:pPr>
            <w:r>
              <w:rPr>
                <w:rFonts w:ascii="Times New Roman" w:cs="Times New Roman" w:eastAsia="Times New Roman" w:hAnsi="Times New Roman"/>
                <w:sz w:val="14"/>
                <w:szCs w:val="14"/>
                <w:color w:val="343741"/>
              </w:rPr>
              <w:t>enforce the same;</w:t>
            </w:r>
          </w:p>
        </w:tc>
        <w:tc>
          <w:tcPr>
            <w:tcW w:w="346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tcPr>
          <w:p>
            <w:pPr>
              <w:spacing w:after="0"/>
              <w:rPr>
                <w:sz w:val="12"/>
                <w:szCs w:val="12"/>
                <w:color w:val="auto"/>
              </w:rPr>
            </w:pPr>
          </w:p>
        </w:tc>
        <w:tc>
          <w:tcPr>
            <w:tcW w:w="258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343741"/>
              </w:rPr>
              <w:t>• To carry out anti-money laundering and</w:t>
            </w:r>
          </w:p>
        </w:tc>
        <w:tc>
          <w:tcPr>
            <w:tcW w:w="346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343741"/>
              </w:rPr>
              <w:t>to facilitate the diligence, negotiation, and completion</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tcPr>
          <w:p>
            <w:pPr>
              <w:spacing w:after="0"/>
              <w:rPr>
                <w:sz w:val="8"/>
                <w:szCs w:val="8"/>
                <w:color w:val="auto"/>
              </w:rPr>
            </w:pPr>
          </w:p>
        </w:tc>
        <w:tc>
          <w:tcPr>
            <w:tcW w:w="2580" w:type="dxa"/>
            <w:vAlign w:val="bottom"/>
            <w:tcBorders>
              <w:right w:val="single" w:sz="8" w:color="auto"/>
            </w:tcBorders>
          </w:tcPr>
          <w:p>
            <w:pPr>
              <w:spacing w:after="0"/>
              <w:rPr>
                <w:sz w:val="8"/>
                <w:szCs w:val="8"/>
                <w:color w:val="auto"/>
              </w:rPr>
            </w:pPr>
          </w:p>
        </w:tc>
        <w:tc>
          <w:tcPr>
            <w:tcW w:w="2620" w:type="dxa"/>
            <w:vAlign w:val="bottom"/>
            <w:tcBorders>
              <w:right w:val="single" w:sz="8" w:color="auto"/>
            </w:tcBorders>
            <w:vMerge w:val="continue"/>
          </w:tcPr>
          <w:p>
            <w:pPr>
              <w:spacing w:after="0"/>
              <w:rPr>
                <w:sz w:val="8"/>
                <w:szCs w:val="8"/>
                <w:color w:val="auto"/>
              </w:rPr>
            </w:pPr>
          </w:p>
        </w:tc>
        <w:tc>
          <w:tcPr>
            <w:tcW w:w="3460" w:type="dxa"/>
            <w:vAlign w:val="bottom"/>
            <w:tcBorders>
              <w:right w:val="single" w:sz="8" w:color="auto"/>
            </w:tcBorders>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343741"/>
              </w:rPr>
              <w:t>phases of transactions contemplated by us, our parent</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0" w:type="dxa"/>
            <w:vAlign w:val="bottom"/>
            <w:tcBorders>
              <w:right w:val="single" w:sz="8" w:color="auto"/>
            </w:tcBorders>
          </w:tcPr>
          <w:p>
            <w:pPr>
              <w:spacing w:after="0"/>
              <w:rPr>
                <w:sz w:val="4"/>
                <w:szCs w:val="4"/>
                <w:color w:val="auto"/>
              </w:rPr>
            </w:pPr>
          </w:p>
        </w:tc>
        <w:tc>
          <w:tcPr>
            <w:tcW w:w="2220" w:type="dxa"/>
            <w:vAlign w:val="bottom"/>
            <w:tcBorders>
              <w:right w:val="single" w:sz="8" w:color="auto"/>
            </w:tcBorders>
          </w:tcPr>
          <w:p>
            <w:pPr>
              <w:spacing w:after="0"/>
              <w:rPr>
                <w:sz w:val="4"/>
                <w:szCs w:val="4"/>
                <w:color w:val="auto"/>
              </w:rPr>
            </w:pPr>
          </w:p>
        </w:tc>
        <w:tc>
          <w:tcPr>
            <w:tcW w:w="2580" w:type="dxa"/>
            <w:vAlign w:val="bottom"/>
            <w:tcBorders>
              <w:right w:val="single" w:sz="8" w:color="auto"/>
            </w:tcBorders>
          </w:tcPr>
          <w:p>
            <w:pPr>
              <w:spacing w:after="0"/>
              <w:rPr>
                <w:sz w:val="4"/>
                <w:szCs w:val="4"/>
                <w:color w:val="auto"/>
              </w:rPr>
            </w:pPr>
          </w:p>
        </w:tc>
        <w:tc>
          <w:tcPr>
            <w:tcW w:w="26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343741"/>
              </w:rPr>
              <w:t>other compliance checks and controls; and</w:t>
            </w:r>
          </w:p>
        </w:tc>
        <w:tc>
          <w:tcPr>
            <w:tcW w:w="3460" w:type="dxa"/>
            <w:vAlign w:val="bottom"/>
            <w:tcBorders>
              <w:right w:val="single" w:sz="8" w:color="auto"/>
            </w:tcBorders>
            <w:vMerge w:val="continue"/>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0" w:type="dxa"/>
            <w:vAlign w:val="bottom"/>
            <w:tcBorders>
              <w:right w:val="single" w:sz="8" w:color="auto"/>
            </w:tcBorders>
          </w:tcPr>
          <w:p>
            <w:pPr>
              <w:spacing w:after="0"/>
              <w:rPr>
                <w:sz w:val="11"/>
                <w:szCs w:val="11"/>
                <w:color w:val="auto"/>
              </w:rPr>
            </w:pPr>
          </w:p>
        </w:tc>
        <w:tc>
          <w:tcPr>
            <w:tcW w:w="2220" w:type="dxa"/>
            <w:vAlign w:val="bottom"/>
            <w:tcBorders>
              <w:right w:val="single" w:sz="8" w:color="auto"/>
            </w:tcBorders>
          </w:tcPr>
          <w:p>
            <w:pPr>
              <w:spacing w:after="0"/>
              <w:rPr>
                <w:sz w:val="11"/>
                <w:szCs w:val="11"/>
                <w:color w:val="auto"/>
              </w:rPr>
            </w:pPr>
          </w:p>
        </w:tc>
        <w:tc>
          <w:tcPr>
            <w:tcW w:w="258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vMerge w:val="continue"/>
          </w:tcPr>
          <w:p>
            <w:pPr>
              <w:spacing w:after="0"/>
              <w:rPr>
                <w:sz w:val="11"/>
                <w:szCs w:val="11"/>
                <w:color w:val="auto"/>
              </w:rPr>
            </w:pPr>
          </w:p>
        </w:tc>
        <w:tc>
          <w:tcPr>
            <w:tcW w:w="34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343741"/>
              </w:rPr>
              <w:t>company, or affiliated operating companies; and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0" w:type="dxa"/>
            <w:vAlign w:val="bottom"/>
            <w:tcBorders>
              <w:right w:val="single" w:sz="8" w:color="auto"/>
            </w:tcBorders>
          </w:tcPr>
          <w:p>
            <w:pPr>
              <w:spacing w:after="0"/>
              <w:rPr>
                <w:sz w:val="4"/>
                <w:szCs w:val="4"/>
                <w:color w:val="auto"/>
              </w:rPr>
            </w:pPr>
          </w:p>
        </w:tc>
        <w:tc>
          <w:tcPr>
            <w:tcW w:w="2220" w:type="dxa"/>
            <w:vAlign w:val="bottom"/>
            <w:tcBorders>
              <w:right w:val="single" w:sz="8" w:color="auto"/>
            </w:tcBorders>
          </w:tcPr>
          <w:p>
            <w:pPr>
              <w:spacing w:after="0"/>
              <w:rPr>
                <w:sz w:val="4"/>
                <w:szCs w:val="4"/>
                <w:color w:val="auto"/>
              </w:rPr>
            </w:pPr>
          </w:p>
        </w:tc>
        <w:tc>
          <w:tcPr>
            <w:tcW w:w="2580" w:type="dxa"/>
            <w:vAlign w:val="bottom"/>
            <w:tcBorders>
              <w:right w:val="single" w:sz="8" w:color="auto"/>
            </w:tcBorders>
          </w:tcPr>
          <w:p>
            <w:pPr>
              <w:spacing w:after="0"/>
              <w:rPr>
                <w:sz w:val="4"/>
                <w:szCs w:val="4"/>
                <w:color w:val="auto"/>
              </w:rPr>
            </w:pPr>
          </w:p>
        </w:tc>
        <w:tc>
          <w:tcPr>
            <w:tcW w:w="26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343741"/>
              </w:rPr>
              <w:t>• To verify your identity or for other fraud</w:t>
            </w:r>
          </w:p>
        </w:tc>
        <w:tc>
          <w:tcPr>
            <w:tcW w:w="3460" w:type="dxa"/>
            <w:vAlign w:val="bottom"/>
            <w:tcBorders>
              <w:right w:val="single" w:sz="8" w:color="auto"/>
            </w:tcBorders>
            <w:vMerge w:val="continue"/>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0" w:type="dxa"/>
            <w:vAlign w:val="bottom"/>
            <w:tcBorders>
              <w:right w:val="single" w:sz="8" w:color="auto"/>
            </w:tcBorders>
          </w:tcPr>
          <w:p>
            <w:pPr>
              <w:spacing w:after="0"/>
              <w:rPr>
                <w:sz w:val="11"/>
                <w:szCs w:val="11"/>
                <w:color w:val="auto"/>
              </w:rPr>
            </w:pPr>
          </w:p>
        </w:tc>
        <w:tc>
          <w:tcPr>
            <w:tcW w:w="2220" w:type="dxa"/>
            <w:vAlign w:val="bottom"/>
            <w:tcBorders>
              <w:right w:val="single" w:sz="8" w:color="auto"/>
            </w:tcBorders>
          </w:tcPr>
          <w:p>
            <w:pPr>
              <w:spacing w:after="0"/>
              <w:rPr>
                <w:sz w:val="11"/>
                <w:szCs w:val="11"/>
                <w:color w:val="auto"/>
              </w:rPr>
            </w:pPr>
          </w:p>
        </w:tc>
        <w:tc>
          <w:tcPr>
            <w:tcW w:w="258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vMerge w:val="continue"/>
          </w:tcPr>
          <w:p>
            <w:pPr>
              <w:spacing w:after="0"/>
              <w:rPr>
                <w:sz w:val="11"/>
                <w:szCs w:val="11"/>
                <w:color w:val="auto"/>
              </w:rPr>
            </w:pPr>
          </w:p>
        </w:tc>
        <w:tc>
          <w:tcPr>
            <w:tcW w:w="3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Government authorities or other entities with legal</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tcPr>
          <w:p>
            <w:pPr>
              <w:spacing w:after="0"/>
              <w:rPr>
                <w:sz w:val="12"/>
                <w:szCs w:val="12"/>
                <w:color w:val="auto"/>
              </w:rPr>
            </w:pPr>
          </w:p>
        </w:tc>
        <w:tc>
          <w:tcPr>
            <w:tcW w:w="258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ind w:left="20"/>
              <w:spacing w:after="0" w:line="145" w:lineRule="exact"/>
              <w:rPr>
                <w:sz w:val="20"/>
                <w:szCs w:val="20"/>
                <w:color w:val="auto"/>
              </w:rPr>
            </w:pPr>
            <w:r>
              <w:rPr>
                <w:rFonts w:ascii="Times New Roman" w:cs="Times New Roman" w:eastAsia="Times New Roman" w:hAnsi="Times New Roman"/>
                <w:sz w:val="14"/>
                <w:szCs w:val="14"/>
                <w:color w:val="343741"/>
              </w:rPr>
              <w:t>and/or crime prevention</w:t>
            </w:r>
          </w:p>
        </w:tc>
        <w:tc>
          <w:tcPr>
            <w:tcW w:w="346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343741"/>
              </w:rPr>
              <w:t>authority to request the information</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03"/>
        </w:trPr>
        <w:tc>
          <w:tcPr>
            <w:tcW w:w="200" w:type="dxa"/>
            <w:vAlign w:val="bottom"/>
            <w:tcBorders>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w:t>
            </w:r>
          </w:p>
        </w:tc>
        <w:tc>
          <w:tcPr>
            <w:tcW w:w="3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8"/>
        </w:trPr>
        <w:tc>
          <w:tcPr>
            <w:tcW w:w="2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34" w:name="page35"/>
    <w:bookmarkEnd w:id="34"/>
    <w:tbl>
      <w:tblPr>
        <w:tblLayout w:type="fixed"/>
        <w:tblInd w:w="180" w:type="dxa"/>
        <w:tblCellMar>
          <w:top w:w="0" w:type="dxa"/>
          <w:left w:w="0" w:type="dxa"/>
          <w:bottom w:w="0" w:type="dxa"/>
          <w:right w:w="0" w:type="dxa"/>
        </w:tblCellMar>
      </w:tblPr>
      <w:tr>
        <w:trPr>
          <w:trHeight w:val="143"/>
        </w:trPr>
        <w:tc>
          <w:tcPr>
            <w:tcW w:w="2220" w:type="dxa"/>
            <w:vAlign w:val="bottom"/>
            <w:tcBorders>
              <w:top w:val="single" w:sz="8" w:color="auto"/>
            </w:tcBorders>
          </w:tcPr>
          <w:p>
            <w:pPr>
              <w:ind w:left="40"/>
              <w:spacing w:after="0" w:line="143" w:lineRule="exact"/>
              <w:rPr>
                <w:sz w:val="20"/>
                <w:szCs w:val="20"/>
                <w:color w:val="auto"/>
              </w:rPr>
            </w:pPr>
            <w:r>
              <w:rPr>
                <w:rFonts w:ascii="Times New Roman" w:cs="Times New Roman" w:eastAsia="Times New Roman" w:hAnsi="Times New Roman"/>
                <w:sz w:val="14"/>
                <w:szCs w:val="14"/>
                <w:color w:val="343741"/>
              </w:rPr>
              <w:t>Internet or other electronic network</w:t>
            </w:r>
          </w:p>
        </w:tc>
        <w:tc>
          <w:tcPr>
            <w:tcW w:w="250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343741"/>
              </w:rPr>
              <w:t>•Automatically when you use our website</w:t>
            </w:r>
          </w:p>
        </w:tc>
        <w:tc>
          <w:tcPr>
            <w:tcW w:w="2620" w:type="dxa"/>
            <w:vAlign w:val="bottom"/>
            <w:tcBorders>
              <w:top w:val="single" w:sz="8" w:color="auto"/>
            </w:tcBorders>
          </w:tcPr>
          <w:p>
            <w:pPr>
              <w:ind w:left="100"/>
              <w:spacing w:after="0" w:line="143" w:lineRule="exact"/>
              <w:rPr>
                <w:sz w:val="20"/>
                <w:szCs w:val="20"/>
                <w:color w:val="auto"/>
              </w:rPr>
            </w:pPr>
            <w:r>
              <w:rPr>
                <w:rFonts w:ascii="Times New Roman" w:cs="Times New Roman" w:eastAsia="Times New Roman" w:hAnsi="Times New Roman"/>
                <w:sz w:val="14"/>
                <w:szCs w:val="14"/>
                <w:color w:val="343741"/>
              </w:rPr>
              <w:t>•To debug errors in our systems;</w:t>
            </w:r>
          </w:p>
        </w:tc>
        <w:tc>
          <w:tcPr>
            <w:tcW w:w="3560" w:type="dxa"/>
            <w:vAlign w:val="bottom"/>
            <w:tcBorders>
              <w:top w:val="single" w:sz="8" w:color="auto"/>
            </w:tcBorders>
          </w:tcPr>
          <w:p>
            <w:pPr>
              <w:ind w:left="100"/>
              <w:spacing w:after="0" w:line="143" w:lineRule="exact"/>
              <w:rPr>
                <w:sz w:val="20"/>
                <w:szCs w:val="20"/>
                <w:color w:val="auto"/>
              </w:rPr>
            </w:pPr>
            <w:r>
              <w:rPr>
                <w:rFonts w:ascii="Times New Roman" w:cs="Times New Roman" w:eastAsia="Times New Roman" w:hAnsi="Times New Roman"/>
                <w:sz w:val="14"/>
                <w:szCs w:val="14"/>
                <w:color w:val="343741"/>
              </w:rPr>
              <w:t>•Group companies, for business, marketing and</w:t>
            </w:r>
          </w:p>
        </w:tc>
        <w:tc>
          <w:tcPr>
            <w:tcW w:w="0" w:type="dxa"/>
            <w:vAlign w:val="bottom"/>
          </w:tcPr>
          <w:p>
            <w:pPr>
              <w:spacing w:after="0"/>
              <w:rPr>
                <w:sz w:val="1"/>
                <w:szCs w:val="1"/>
                <w:color w:val="auto"/>
              </w:rPr>
            </w:pPr>
          </w:p>
        </w:tc>
      </w:tr>
      <w:tr>
        <w:trPr>
          <w:trHeight w:val="148"/>
        </w:trPr>
        <w:tc>
          <w:tcPr>
            <w:tcW w:w="22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343741"/>
              </w:rPr>
              <w:t>activity – such as browsing history,</w:t>
            </w:r>
          </w:p>
        </w:tc>
        <w:tc>
          <w:tcPr>
            <w:tcW w:w="25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343741"/>
              </w:rPr>
              <w:t>or services</w:t>
            </w:r>
          </w:p>
        </w:tc>
        <w:tc>
          <w:tcPr>
            <w:tcW w:w="26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343741"/>
              </w:rPr>
              <w:t>• For marketing and advertising purposes;</w:t>
            </w:r>
          </w:p>
        </w:tc>
        <w:tc>
          <w:tcPr>
            <w:tcW w:w="35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343741"/>
              </w:rPr>
              <w:t>operational purposes</w:t>
            </w:r>
          </w:p>
        </w:tc>
        <w:tc>
          <w:tcPr>
            <w:tcW w:w="0" w:type="dxa"/>
            <w:vAlign w:val="bottom"/>
          </w:tcPr>
          <w:p>
            <w:pPr>
              <w:spacing w:after="0"/>
              <w:rPr>
                <w:sz w:val="1"/>
                <w:szCs w:val="1"/>
                <w:color w:val="auto"/>
              </w:rPr>
            </w:pPr>
          </w:p>
        </w:tc>
      </w:tr>
      <w:tr>
        <w:trPr>
          <w:trHeight w:val="81"/>
        </w:trPr>
        <w:tc>
          <w:tcPr>
            <w:tcW w:w="2220" w:type="dxa"/>
            <w:vAlign w:val="bottom"/>
            <w:vMerge w:val="restart"/>
          </w:tcPr>
          <w:p>
            <w:pPr>
              <w:ind w:left="40"/>
              <w:spacing w:after="0" w:line="149" w:lineRule="exact"/>
              <w:rPr>
                <w:sz w:val="20"/>
                <w:szCs w:val="20"/>
                <w:color w:val="auto"/>
              </w:rPr>
            </w:pPr>
            <w:r>
              <w:rPr>
                <w:rFonts w:ascii="Times New Roman" w:cs="Times New Roman" w:eastAsia="Times New Roman" w:hAnsi="Times New Roman"/>
                <w:sz w:val="14"/>
                <w:szCs w:val="14"/>
                <w:color w:val="343741"/>
              </w:rPr>
              <w:t>search history, a consumer’s</w:t>
            </w:r>
          </w:p>
        </w:tc>
        <w:tc>
          <w:tcPr>
            <w:tcW w:w="250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3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220" w:type="dxa"/>
            <w:vAlign w:val="bottom"/>
            <w:vMerge w:val="continue"/>
          </w:tcPr>
          <w:p>
            <w:pPr>
              <w:spacing w:after="0"/>
              <w:rPr>
                <w:sz w:val="5"/>
                <w:szCs w:val="5"/>
                <w:color w:val="auto"/>
              </w:rPr>
            </w:pPr>
          </w:p>
        </w:tc>
        <w:tc>
          <w:tcPr>
            <w:tcW w:w="2500" w:type="dxa"/>
            <w:vAlign w:val="bottom"/>
          </w:tcPr>
          <w:p>
            <w:pPr>
              <w:spacing w:after="0"/>
              <w:rPr>
                <w:sz w:val="5"/>
                <w:szCs w:val="5"/>
                <w:color w:val="auto"/>
              </w:rPr>
            </w:pPr>
          </w:p>
        </w:tc>
        <w:tc>
          <w:tcPr>
            <w:tcW w:w="2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343741"/>
              </w:rPr>
              <w:t>and</w:t>
            </w:r>
          </w:p>
        </w:tc>
        <w:tc>
          <w:tcPr>
            <w:tcW w:w="3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220" w:type="dxa"/>
            <w:vAlign w:val="bottom"/>
            <w:vMerge w:val="restart"/>
          </w:tcPr>
          <w:p>
            <w:pPr>
              <w:ind w:left="40"/>
              <w:spacing w:after="0" w:line="149" w:lineRule="exact"/>
              <w:rPr>
                <w:sz w:val="20"/>
                <w:szCs w:val="20"/>
                <w:color w:val="auto"/>
              </w:rPr>
            </w:pPr>
            <w:r>
              <w:rPr>
                <w:rFonts w:ascii="Times New Roman" w:cs="Times New Roman" w:eastAsia="Times New Roman" w:hAnsi="Times New Roman"/>
                <w:sz w:val="14"/>
                <w:szCs w:val="14"/>
                <w:color w:val="343741"/>
              </w:rPr>
              <w:t>interaction with an internet website,</w:t>
            </w:r>
          </w:p>
        </w:tc>
        <w:tc>
          <w:tcPr>
            <w:tcW w:w="2500" w:type="dxa"/>
            <w:vAlign w:val="bottom"/>
          </w:tcPr>
          <w:p>
            <w:pPr>
              <w:spacing w:after="0"/>
              <w:rPr>
                <w:sz w:val="10"/>
                <w:szCs w:val="10"/>
                <w:color w:val="auto"/>
              </w:rPr>
            </w:pPr>
          </w:p>
        </w:tc>
        <w:tc>
          <w:tcPr>
            <w:tcW w:w="2620" w:type="dxa"/>
            <w:vAlign w:val="bottom"/>
            <w:vMerge w:val="continue"/>
          </w:tcPr>
          <w:p>
            <w:pPr>
              <w:spacing w:after="0"/>
              <w:rPr>
                <w:sz w:val="10"/>
                <w:szCs w:val="10"/>
                <w:color w:val="auto"/>
              </w:rPr>
            </w:pPr>
          </w:p>
        </w:tc>
        <w:tc>
          <w:tcPr>
            <w:tcW w:w="3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220" w:type="dxa"/>
            <w:vAlign w:val="bottom"/>
            <w:vMerge w:val="continue"/>
          </w:tcPr>
          <w:p>
            <w:pPr>
              <w:spacing w:after="0"/>
              <w:rPr>
                <w:sz w:val="2"/>
                <w:szCs w:val="2"/>
                <w:color w:val="auto"/>
              </w:rPr>
            </w:pPr>
          </w:p>
        </w:tc>
        <w:tc>
          <w:tcPr>
            <w:tcW w:w="25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343741"/>
              </w:rPr>
              <w:t>application, or advertisement</w:t>
            </w:r>
          </w:p>
        </w:tc>
        <w:tc>
          <w:tcPr>
            <w:tcW w:w="2500" w:type="dxa"/>
            <w:vAlign w:val="bottom"/>
          </w:tcPr>
          <w:p>
            <w:pPr>
              <w:spacing w:after="0"/>
              <w:rPr>
                <w:sz w:val="15"/>
                <w:szCs w:val="15"/>
                <w:color w:val="auto"/>
              </w:rPr>
            </w:pPr>
          </w:p>
        </w:tc>
        <w:tc>
          <w:tcPr>
            <w:tcW w:w="2620" w:type="dxa"/>
            <w:vAlign w:val="bottom"/>
          </w:tcPr>
          <w:p>
            <w:pPr>
              <w:ind w:left="100"/>
              <w:spacing w:after="0"/>
              <w:rPr>
                <w:sz w:val="20"/>
                <w:szCs w:val="20"/>
                <w:color w:val="auto"/>
              </w:rPr>
            </w:pPr>
            <w:r>
              <w:rPr>
                <w:rFonts w:ascii="Times New Roman" w:cs="Times New Roman" w:eastAsia="Times New Roman" w:hAnsi="Times New Roman"/>
                <w:sz w:val="14"/>
                <w:szCs w:val="14"/>
                <w:color w:val="343741"/>
              </w:rPr>
              <w:t>•For internal research, analytics and</w:t>
            </w:r>
          </w:p>
        </w:tc>
        <w:tc>
          <w:tcPr>
            <w:tcW w:w="3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2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620" w:type="dxa"/>
            <w:vAlign w:val="bottom"/>
          </w:tcPr>
          <w:p>
            <w:pPr>
              <w:ind w:left="140"/>
              <w:spacing w:after="0"/>
              <w:rPr>
                <w:sz w:val="20"/>
                <w:szCs w:val="20"/>
                <w:color w:val="auto"/>
              </w:rPr>
            </w:pPr>
            <w:r>
              <w:rPr>
                <w:rFonts w:ascii="Times New Roman" w:cs="Times New Roman" w:eastAsia="Times New Roman" w:hAnsi="Times New Roman"/>
                <w:sz w:val="14"/>
                <w:szCs w:val="14"/>
                <w:color w:val="343741"/>
              </w:rPr>
              <w:t>development</w:t>
            </w:r>
          </w:p>
        </w:tc>
        <w:tc>
          <w:tcPr>
            <w:tcW w:w="3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1715135</wp:posOffset>
            </wp:positionH>
            <wp:positionV relativeFrom="page">
              <wp:posOffset>763905</wp:posOffset>
            </wp:positionV>
            <wp:extent cx="12700" cy="18986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1898650"/>
                    </a:xfrm>
                    <a:prstGeom prst="rect">
                      <a:avLst/>
                    </a:prstGeom>
                    <a:noFill/>
                  </pic:spPr>
                </pic:pic>
              </a:graphicData>
            </a:graphic>
          </wp:anchor>
        </w:drawing>
        <w:drawing>
          <wp:anchor simplePos="0" relativeHeight="251657728" behindDoc="1" locked="0" layoutInCell="0" allowOverlap="1">
            <wp:simplePos x="0" y="0"/>
            <wp:positionH relativeFrom="page">
              <wp:posOffset>317500</wp:posOffset>
            </wp:positionH>
            <wp:positionV relativeFrom="page">
              <wp:posOffset>763905</wp:posOffset>
            </wp:positionV>
            <wp:extent cx="12700" cy="18986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189865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-601345</wp:posOffset>
            </wp:positionV>
            <wp:extent cx="8890" cy="56832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568325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-601345</wp:posOffset>
            </wp:positionV>
            <wp:extent cx="8255" cy="56832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568325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-601345</wp:posOffset>
            </wp:positionV>
            <wp:extent cx="8890" cy="56832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5683250"/>
                    </a:xfrm>
                    <a:prstGeom prst="rect">
                      <a:avLst/>
                    </a:prstGeom>
                    <a:noFill/>
                  </pic:spPr>
                </pic:pic>
              </a:graphicData>
            </a:graphic>
          </wp:anchor>
        </w:drawing>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343741"/>
        </w:rPr>
        <w:t>NOTE: The information in this</w:t>
      </w:r>
    </w:p>
    <w:p>
      <w:pPr>
        <w:ind w:left="220"/>
        <w:spacing w:after="0" w:line="229" w:lineRule="auto"/>
        <w:rPr>
          <w:sz w:val="20"/>
          <w:szCs w:val="20"/>
          <w:color w:val="auto"/>
        </w:rPr>
      </w:pPr>
      <w:r>
        <w:rPr>
          <w:rFonts w:ascii="Times New Roman" w:cs="Times New Roman" w:eastAsia="Times New Roman" w:hAnsi="Times New Roman"/>
          <w:sz w:val="14"/>
          <w:szCs w:val="14"/>
          <w:i w:val="1"/>
          <w:iCs w:val="1"/>
          <w:color w:val="343741"/>
        </w:rPr>
        <w:t>category may include the following</w:t>
      </w:r>
    </w:p>
    <w:p>
      <w:pPr>
        <w:ind w:left="220"/>
        <w:spacing w:after="0" w:line="221" w:lineRule="auto"/>
        <w:rPr>
          <w:sz w:val="20"/>
          <w:szCs w:val="20"/>
          <w:color w:val="auto"/>
        </w:rPr>
      </w:pPr>
      <w:r>
        <w:rPr>
          <w:rFonts w:ascii="Times New Roman" w:cs="Times New Roman" w:eastAsia="Times New Roman" w:hAnsi="Times New Roman"/>
          <w:sz w:val="14"/>
          <w:szCs w:val="14"/>
          <w:i w:val="1"/>
          <w:iCs w:val="1"/>
          <w:color w:val="343741"/>
        </w:rPr>
        <w:t>elements as defined as Sensitive</w:t>
      </w:r>
    </w:p>
    <w:p>
      <w:pPr>
        <w:ind w:left="220"/>
        <w:spacing w:after="0" w:line="222" w:lineRule="auto"/>
        <w:rPr>
          <w:sz w:val="20"/>
          <w:szCs w:val="20"/>
          <w:color w:val="auto"/>
        </w:rPr>
      </w:pPr>
      <w:r>
        <w:rPr>
          <w:rFonts w:ascii="Times New Roman" w:cs="Times New Roman" w:eastAsia="Times New Roman" w:hAnsi="Times New Roman"/>
          <w:sz w:val="14"/>
          <w:szCs w:val="14"/>
          <w:i w:val="1"/>
          <w:iCs w:val="1"/>
          <w:color w:val="343741"/>
        </w:rPr>
        <w:t>Personal</w:t>
      </w:r>
    </w:p>
    <w:p>
      <w:pPr>
        <w:ind w:left="220"/>
        <w:spacing w:after="0" w:line="221" w:lineRule="auto"/>
        <w:rPr>
          <w:sz w:val="20"/>
          <w:szCs w:val="20"/>
          <w:color w:val="auto"/>
        </w:rPr>
      </w:pPr>
      <w:r>
        <w:rPr>
          <w:rFonts w:ascii="Times New Roman" w:cs="Times New Roman" w:eastAsia="Times New Roman" w:hAnsi="Times New Roman"/>
          <w:sz w:val="14"/>
          <w:szCs w:val="14"/>
          <w:i w:val="1"/>
          <w:iCs w:val="1"/>
          <w:color w:val="343741"/>
        </w:rPr>
        <w:t>Information in the Act: the contents</w:t>
      </w:r>
    </w:p>
    <w:p>
      <w:pPr>
        <w:ind w:left="220"/>
        <w:spacing w:after="0" w:line="222" w:lineRule="auto"/>
        <w:rPr>
          <w:sz w:val="20"/>
          <w:szCs w:val="20"/>
          <w:color w:val="auto"/>
        </w:rPr>
      </w:pPr>
      <w:r>
        <w:rPr>
          <w:rFonts w:ascii="Times New Roman" w:cs="Times New Roman" w:eastAsia="Times New Roman" w:hAnsi="Times New Roman"/>
          <w:sz w:val="14"/>
          <w:szCs w:val="14"/>
          <w:i w:val="1"/>
          <w:iCs w:val="1"/>
          <w:color w:val="343741"/>
        </w:rPr>
        <w:t>of mail, e- mail, or text messages, to</w:t>
      </w:r>
    </w:p>
    <w:p>
      <w:pPr>
        <w:ind w:left="220"/>
        <w:spacing w:after="0" w:line="221" w:lineRule="auto"/>
        <w:rPr>
          <w:sz w:val="20"/>
          <w:szCs w:val="20"/>
          <w:color w:val="auto"/>
        </w:rPr>
      </w:pPr>
      <w:r>
        <w:rPr>
          <w:rFonts w:ascii="Times New Roman" w:cs="Times New Roman" w:eastAsia="Times New Roman" w:hAnsi="Times New Roman"/>
          <w:sz w:val="14"/>
          <w:szCs w:val="14"/>
          <w:i w:val="1"/>
          <w:iCs w:val="1"/>
          <w:color w:val="343741"/>
        </w:rPr>
        <w:t>which the business was</w:t>
      </w:r>
    </w:p>
    <w:p>
      <w:pPr>
        <w:ind w:left="220"/>
        <w:spacing w:after="0"/>
        <w:rPr>
          <w:sz w:val="20"/>
          <w:szCs w:val="20"/>
          <w:color w:val="auto"/>
        </w:rPr>
      </w:pPr>
      <w:r>
        <w:rPr>
          <w:rFonts w:ascii="Times New Roman" w:cs="Times New Roman" w:eastAsia="Times New Roman" w:hAnsi="Times New Roman"/>
          <w:sz w:val="14"/>
          <w:szCs w:val="14"/>
          <w:i w:val="1"/>
          <w:iCs w:val="1"/>
          <w:color w:val="343741"/>
        </w:rPr>
        <w:t>not the intended recipient.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0" w:type="dxa"/>
            <w:vAlign w:val="bottom"/>
            <w:tcBorders>
              <w:right w:val="single" w:sz="8" w:color="auto"/>
            </w:tcBorders>
          </w:tcPr>
          <w:p>
            <w:pPr>
              <w:spacing w:after="0"/>
              <w:rPr>
                <w:sz w:val="15"/>
                <w:szCs w:val="15"/>
                <w:color w:val="auto"/>
              </w:rPr>
            </w:pPr>
          </w:p>
        </w:tc>
        <w:tc>
          <w:tcPr>
            <w:tcW w:w="22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343741"/>
              </w:rPr>
              <w:t>Financial information such as bank</w:t>
            </w:r>
          </w:p>
        </w:tc>
        <w:tc>
          <w:tcPr>
            <w:tcW w:w="2580" w:type="dxa"/>
            <w:vAlign w:val="bottom"/>
            <w:tcBorders>
              <w:top w:val="single" w:sz="8" w:color="auto"/>
            </w:tcBorders>
          </w:tcPr>
          <w:p>
            <w:pPr>
              <w:spacing w:after="0" w:line="179"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Directly from you;</w:t>
            </w:r>
          </w:p>
        </w:tc>
        <w:tc>
          <w:tcPr>
            <w:tcW w:w="2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343741"/>
              </w:rPr>
              <w:t>• To provide you services;</w:t>
            </w:r>
          </w:p>
        </w:tc>
        <w:tc>
          <w:tcPr>
            <w:tcW w:w="3500" w:type="dxa"/>
            <w:vAlign w:val="bottom"/>
            <w:tcBorders>
              <w:top w:val="single" w:sz="8" w:color="auto"/>
            </w:tcBorders>
          </w:tcPr>
          <w:p>
            <w:pPr>
              <w:ind w:left="60"/>
              <w:spacing w:after="0" w:line="179"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Professional advisers, including depositories,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 w:type="dxa"/>
            <w:vAlign w:val="bottom"/>
            <w:tcBorders>
              <w:right w:val="single" w:sz="8" w:color="auto"/>
            </w:tcBorders>
          </w:tcPr>
          <w:p>
            <w:pPr>
              <w:spacing w:after="0"/>
              <w:rPr>
                <w:sz w:val="16"/>
                <w:szCs w:val="16"/>
                <w:color w:val="auto"/>
              </w:rPr>
            </w:pP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343741"/>
              </w:rPr>
              <w:t>account details, credit history,</w:t>
            </w:r>
          </w:p>
        </w:tc>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From your employer;</w:t>
            </w:r>
          </w:p>
        </w:tc>
        <w:tc>
          <w:tcPr>
            <w:tcW w:w="2600" w:type="dxa"/>
            <w:vAlign w:val="bottom"/>
          </w:tcPr>
          <w:p>
            <w:pPr>
              <w:spacing w:after="0"/>
              <w:rPr>
                <w:sz w:val="20"/>
                <w:szCs w:val="20"/>
                <w:color w:val="auto"/>
              </w:rPr>
            </w:pPr>
            <w:r>
              <w:rPr>
                <w:rFonts w:ascii="Times New Roman" w:cs="Times New Roman" w:eastAsia="Times New Roman" w:hAnsi="Times New Roman"/>
                <w:sz w:val="14"/>
                <w:szCs w:val="14"/>
                <w:color w:val="343741"/>
              </w:rPr>
              <w:t>•To deal with administrative matters such as</w:t>
            </w:r>
          </w:p>
        </w:tc>
        <w:tc>
          <w:tcPr>
            <w:tcW w:w="3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343741"/>
              </w:rPr>
              <w:t>administrators, custodians, investment advisers,</w:t>
            </w:r>
          </w:p>
        </w:tc>
        <w:tc>
          <w:tcPr>
            <w:tcW w:w="0" w:type="dxa"/>
            <w:vAlign w:val="bottom"/>
          </w:tcPr>
          <w:p>
            <w:pPr>
              <w:spacing w:after="0"/>
              <w:rPr>
                <w:sz w:val="1"/>
                <w:szCs w:val="1"/>
                <w:color w:val="auto"/>
              </w:rPr>
            </w:pPr>
          </w:p>
        </w:tc>
      </w:tr>
      <w:tr>
        <w:trPr>
          <w:trHeight w:val="148"/>
        </w:trPr>
        <w:tc>
          <w:tcPr>
            <w:tcW w:w="20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343741"/>
              </w:rPr>
              <w:t>income details, assets and</w:t>
            </w:r>
          </w:p>
        </w:tc>
        <w:tc>
          <w:tcPr>
            <w:tcW w:w="2580" w:type="dxa"/>
            <w:vAlign w:val="bottom"/>
            <w:vMerge w:val="continue"/>
          </w:tcPr>
          <w:p>
            <w:pPr>
              <w:spacing w:after="0"/>
              <w:rPr>
                <w:sz w:val="12"/>
                <w:szCs w:val="12"/>
                <w:color w:val="auto"/>
              </w:rPr>
            </w:pPr>
          </w:p>
        </w:tc>
        <w:tc>
          <w:tcPr>
            <w:tcW w:w="26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343741"/>
              </w:rPr>
              <w:t>invoicing, renewal or to audit customer</w:t>
            </w:r>
          </w:p>
        </w:tc>
        <w:tc>
          <w:tcPr>
            <w:tcW w:w="36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343741"/>
              </w:rPr>
              <w:t>accountancy and legal firms, in order to provide us with</w:t>
            </w:r>
          </w:p>
        </w:tc>
        <w:tc>
          <w:tcPr>
            <w:tcW w:w="0" w:type="dxa"/>
            <w:vAlign w:val="bottom"/>
          </w:tcPr>
          <w:p>
            <w:pPr>
              <w:spacing w:after="0"/>
              <w:rPr>
                <w:sz w:val="1"/>
                <w:szCs w:val="1"/>
                <w:color w:val="auto"/>
              </w:rPr>
            </w:pPr>
          </w:p>
        </w:tc>
      </w:tr>
      <w:tr>
        <w:trPr>
          <w:trHeight w:val="108"/>
        </w:trPr>
        <w:tc>
          <w:tcPr>
            <w:tcW w:w="200" w:type="dxa"/>
            <w:vAlign w:val="bottom"/>
            <w:tcBorders>
              <w:right w:val="single" w:sz="8" w:color="auto"/>
            </w:tcBorders>
          </w:tcPr>
          <w:p>
            <w:pPr>
              <w:spacing w:after="0"/>
              <w:rPr>
                <w:sz w:val="9"/>
                <w:szCs w:val="9"/>
                <w:color w:val="auto"/>
              </w:rPr>
            </w:pPr>
          </w:p>
        </w:tc>
        <w:tc>
          <w:tcPr>
            <w:tcW w:w="2200" w:type="dxa"/>
            <w:vAlign w:val="bottom"/>
            <w:tcBorders>
              <w:right w:val="single" w:sz="8" w:color="auto"/>
            </w:tcBorders>
          </w:tcPr>
          <w:p>
            <w:pPr>
              <w:ind w:left="20"/>
              <w:spacing w:after="0" w:line="108" w:lineRule="exact"/>
              <w:rPr>
                <w:sz w:val="20"/>
                <w:szCs w:val="20"/>
                <w:color w:val="auto"/>
              </w:rPr>
            </w:pPr>
            <w:r>
              <w:rPr>
                <w:rFonts w:ascii="Times New Roman" w:cs="Times New Roman" w:eastAsia="Times New Roman" w:hAnsi="Times New Roman"/>
                <w:sz w:val="12"/>
                <w:szCs w:val="12"/>
                <w:color w:val="343741"/>
              </w:rPr>
              <w:t>investment experience, risk tolerance</w:t>
            </w:r>
          </w:p>
        </w:tc>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Automatically when you use our website or</w:t>
            </w:r>
          </w:p>
        </w:tc>
        <w:tc>
          <w:tcPr>
            <w:tcW w:w="26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343741"/>
              </w:rPr>
              <w:t>transactions;</w:t>
            </w:r>
          </w:p>
        </w:tc>
        <w:tc>
          <w:tcPr>
            <w:tcW w:w="366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2"/>
                <w:szCs w:val="12"/>
                <w:color w:val="343741"/>
              </w:rPr>
              <w:t>advice and services;</w:t>
            </w:r>
          </w:p>
        </w:tc>
        <w:tc>
          <w:tcPr>
            <w:tcW w:w="0" w:type="dxa"/>
            <w:vAlign w:val="bottom"/>
          </w:tcPr>
          <w:p>
            <w:pPr>
              <w:spacing w:after="0"/>
              <w:rPr>
                <w:sz w:val="1"/>
                <w:szCs w:val="1"/>
                <w:color w:val="auto"/>
              </w:rPr>
            </w:pPr>
          </w:p>
        </w:tc>
      </w:tr>
      <w:tr>
        <w:trPr>
          <w:trHeight w:val="162"/>
        </w:trPr>
        <w:tc>
          <w:tcPr>
            <w:tcW w:w="200" w:type="dxa"/>
            <w:vAlign w:val="bottom"/>
            <w:tcBorders>
              <w:right w:val="single" w:sz="8" w:color="auto"/>
            </w:tcBorders>
          </w:tcPr>
          <w:p>
            <w:pPr>
              <w:spacing w:after="0"/>
              <w:rPr>
                <w:sz w:val="14"/>
                <w:szCs w:val="14"/>
                <w:color w:val="auto"/>
              </w:rPr>
            </w:pP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343741"/>
              </w:rPr>
              <w:t>or other similar identifiers</w:t>
            </w:r>
          </w:p>
        </w:tc>
        <w:tc>
          <w:tcPr>
            <w:tcW w:w="2580" w:type="dxa"/>
            <w:vAlign w:val="bottom"/>
            <w:vMerge w:val="continue"/>
          </w:tcPr>
          <w:p>
            <w:pPr>
              <w:spacing w:after="0"/>
              <w:rPr>
                <w:sz w:val="14"/>
                <w:szCs w:val="14"/>
                <w:color w:val="auto"/>
              </w:rPr>
            </w:pPr>
          </w:p>
        </w:tc>
        <w:tc>
          <w:tcPr>
            <w:tcW w:w="2600" w:type="dxa"/>
            <w:vAlign w:val="bottom"/>
            <w:vMerge w:val="continue"/>
          </w:tcPr>
          <w:p>
            <w:pPr>
              <w:spacing w:after="0"/>
              <w:rPr>
                <w:sz w:val="14"/>
                <w:szCs w:val="14"/>
                <w:color w:val="auto"/>
              </w:rPr>
            </w:pPr>
          </w:p>
        </w:tc>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i w:val="1"/>
                <w:iCs w:val="1"/>
                <w:color w:val="343741"/>
              </w:rPr>
              <w:t>NOTE: The information in this</w:t>
            </w:r>
          </w:p>
        </w:tc>
        <w:tc>
          <w:tcPr>
            <w:tcW w:w="25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343741"/>
              </w:rPr>
              <w:t>services;</w:t>
            </w:r>
          </w:p>
        </w:tc>
        <w:tc>
          <w:tcPr>
            <w:tcW w:w="6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343741"/>
              </w:rPr>
              <w:t xml:space="preserve">• To perform services on our behalf, such as  </w:t>
            </w:r>
            <w:r>
              <w:rPr>
                <w:rFonts w:ascii="Times New Roman" w:cs="Times New Roman" w:eastAsia="Times New Roman" w:hAnsi="Times New Roman"/>
                <w:sz w:val="17"/>
                <w:szCs w:val="17"/>
                <w:color w:val="343741"/>
              </w:rPr>
              <w:t>•</w:t>
            </w:r>
            <w:r>
              <w:rPr>
                <w:rFonts w:ascii="Times New Roman" w:cs="Times New Roman" w:eastAsia="Times New Roman" w:hAnsi="Times New Roman"/>
                <w:sz w:val="14"/>
                <w:szCs w:val="14"/>
                <w:color w:val="343741"/>
              </w:rPr>
              <w:t>Service providers, including to provide and support our</w:t>
            </w:r>
          </w:p>
        </w:tc>
        <w:tc>
          <w:tcPr>
            <w:tcW w:w="0" w:type="dxa"/>
            <w:vAlign w:val="bottom"/>
          </w:tcPr>
          <w:p>
            <w:pPr>
              <w:spacing w:after="0"/>
              <w:rPr>
                <w:sz w:val="1"/>
                <w:szCs w:val="1"/>
                <w:color w:val="auto"/>
              </w:rPr>
            </w:pPr>
          </w:p>
        </w:tc>
      </w:tr>
      <w:tr>
        <w:trPr>
          <w:trHeight w:val="122"/>
        </w:trPr>
        <w:tc>
          <w:tcPr>
            <w:tcW w:w="200" w:type="dxa"/>
            <w:vAlign w:val="bottom"/>
            <w:tcBorders>
              <w:right w:val="single" w:sz="8" w:color="auto"/>
            </w:tcBorders>
          </w:tcPr>
          <w:p>
            <w:pPr>
              <w:spacing w:after="0"/>
              <w:rPr>
                <w:sz w:val="10"/>
                <w:szCs w:val="10"/>
                <w:color w:val="auto"/>
              </w:rPr>
            </w:pPr>
          </w:p>
        </w:tc>
        <w:tc>
          <w:tcPr>
            <w:tcW w:w="2200" w:type="dxa"/>
            <w:vAlign w:val="bottom"/>
            <w:tcBorders>
              <w:right w:val="single" w:sz="8" w:color="auto"/>
            </w:tcBorders>
            <w:vMerge w:val="continue"/>
          </w:tcPr>
          <w:p>
            <w:pPr>
              <w:spacing w:after="0"/>
              <w:rPr>
                <w:sz w:val="10"/>
                <w:szCs w:val="10"/>
                <w:color w:val="auto"/>
              </w:rPr>
            </w:pPr>
          </w:p>
        </w:tc>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From third parties acting on your behalf;</w:t>
            </w:r>
          </w:p>
        </w:tc>
        <w:tc>
          <w:tcPr>
            <w:tcW w:w="260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343741"/>
              </w:rPr>
              <w:t>processing capital calls or redemptions;</w:t>
            </w:r>
          </w:p>
        </w:tc>
        <w:tc>
          <w:tcPr>
            <w:tcW w:w="366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4"/>
                <w:szCs w:val="14"/>
                <w:color w:val="343741"/>
              </w:rPr>
              <w:t>data management, analytics, security, and storage</w:t>
            </w:r>
          </w:p>
        </w:tc>
        <w:tc>
          <w:tcPr>
            <w:tcW w:w="0" w:type="dxa"/>
            <w:vAlign w:val="bottom"/>
          </w:tcPr>
          <w:p>
            <w:pPr>
              <w:spacing w:after="0"/>
              <w:rPr>
                <w:sz w:val="1"/>
                <w:szCs w:val="1"/>
                <w:color w:val="auto"/>
              </w:rPr>
            </w:pPr>
          </w:p>
        </w:tc>
      </w:tr>
      <w:tr>
        <w:trPr>
          <w:trHeight w:val="148"/>
        </w:trPr>
        <w:tc>
          <w:tcPr>
            <w:tcW w:w="20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343741"/>
              </w:rPr>
              <w:t>category may include the following</w:t>
            </w:r>
          </w:p>
        </w:tc>
        <w:tc>
          <w:tcPr>
            <w:tcW w:w="2580" w:type="dxa"/>
            <w:vAlign w:val="bottom"/>
            <w:vMerge w:val="continue"/>
          </w:tcPr>
          <w:p>
            <w:pPr>
              <w:spacing w:after="0"/>
              <w:rPr>
                <w:sz w:val="12"/>
                <w:szCs w:val="12"/>
                <w:color w:val="auto"/>
              </w:rPr>
            </w:pPr>
          </w:p>
        </w:tc>
        <w:tc>
          <w:tcPr>
            <w:tcW w:w="2600" w:type="dxa"/>
            <w:vAlign w:val="bottom"/>
            <w:vMerge w:val="restart"/>
          </w:tcPr>
          <w:p>
            <w:pPr>
              <w:spacing w:after="0"/>
              <w:rPr>
                <w:sz w:val="20"/>
                <w:szCs w:val="20"/>
                <w:color w:val="auto"/>
              </w:rPr>
            </w:pPr>
            <w:r>
              <w:rPr>
                <w:rFonts w:ascii="Times New Roman" w:cs="Times New Roman" w:eastAsia="Times New Roman" w:hAnsi="Times New Roman"/>
                <w:sz w:val="14"/>
                <w:szCs w:val="14"/>
                <w:color w:val="343741"/>
              </w:rPr>
              <w:t>• To otherwise carry out our obligations</w:t>
            </w:r>
          </w:p>
        </w:tc>
        <w:tc>
          <w:tcPr>
            <w:tcW w:w="36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343741"/>
              </w:rPr>
              <w:t>systems;</w:t>
            </w:r>
          </w:p>
        </w:tc>
        <w:tc>
          <w:tcPr>
            <w:tcW w:w="0" w:type="dxa"/>
            <w:vAlign w:val="bottom"/>
          </w:tcPr>
          <w:p>
            <w:pPr>
              <w:spacing w:after="0"/>
              <w:rPr>
                <w:sz w:val="1"/>
                <w:szCs w:val="1"/>
                <w:color w:val="auto"/>
              </w:rPr>
            </w:pPr>
          </w:p>
        </w:tc>
      </w:tr>
      <w:tr>
        <w:trPr>
          <w:trHeight w:val="148"/>
        </w:trPr>
        <w:tc>
          <w:tcPr>
            <w:tcW w:w="20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343741"/>
              </w:rPr>
              <w:t>elements as defined as Sensitive</w:t>
            </w:r>
          </w:p>
        </w:tc>
        <w:tc>
          <w:tcPr>
            <w:tcW w:w="25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343741"/>
              </w:rPr>
              <w:t>including business partners, accountancy</w:t>
            </w:r>
          </w:p>
        </w:tc>
        <w:tc>
          <w:tcPr>
            <w:tcW w:w="2600" w:type="dxa"/>
            <w:vAlign w:val="bottom"/>
            <w:vMerge w:val="continue"/>
          </w:tcPr>
          <w:p>
            <w:pPr>
              <w:spacing w:after="0"/>
              <w:rPr>
                <w:sz w:val="12"/>
                <w:szCs w:val="12"/>
                <w:color w:val="auto"/>
              </w:rPr>
            </w:pPr>
          </w:p>
        </w:tc>
        <w:tc>
          <w:tcPr>
            <w:tcW w:w="3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Group companies, for business, marketing and operational</w:t>
            </w:r>
          </w:p>
        </w:tc>
        <w:tc>
          <w:tcPr>
            <w:tcW w:w="0" w:type="dxa"/>
            <w:vAlign w:val="bottom"/>
          </w:tcPr>
          <w:p>
            <w:pPr>
              <w:spacing w:after="0"/>
              <w:rPr>
                <w:sz w:val="1"/>
                <w:szCs w:val="1"/>
                <w:color w:val="auto"/>
              </w:rPr>
            </w:pPr>
          </w:p>
        </w:tc>
      </w:tr>
      <w:tr>
        <w:trPr>
          <w:trHeight w:val="149"/>
        </w:trPr>
        <w:tc>
          <w:tcPr>
            <w:tcW w:w="20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343741"/>
              </w:rPr>
              <w:t>Personal Information in the Act:</w:t>
            </w:r>
          </w:p>
        </w:tc>
        <w:tc>
          <w:tcPr>
            <w:tcW w:w="25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343741"/>
              </w:rPr>
              <w:t>and law firms; and</w:t>
            </w:r>
          </w:p>
        </w:tc>
        <w:tc>
          <w:tcPr>
            <w:tcW w:w="26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343741"/>
              </w:rPr>
              <w:t>arising under our contract with you and to</w:t>
            </w:r>
          </w:p>
        </w:tc>
        <w:tc>
          <w:tcPr>
            <w:tcW w:w="3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0" w:type="dxa"/>
            <w:vAlign w:val="bottom"/>
            <w:tcBorders>
              <w:right w:val="single" w:sz="8" w:color="auto"/>
            </w:tcBorders>
          </w:tcPr>
          <w:p>
            <w:pPr>
              <w:spacing w:after="0"/>
              <w:rPr>
                <w:sz w:val="10"/>
                <w:szCs w:val="10"/>
                <w:color w:val="auto"/>
              </w:rPr>
            </w:pPr>
          </w:p>
        </w:tc>
        <w:tc>
          <w:tcPr>
            <w:tcW w:w="2200" w:type="dxa"/>
            <w:vAlign w:val="bottom"/>
            <w:tcBorders>
              <w:right w:val="single" w:sz="8" w:color="auto"/>
            </w:tcBorders>
          </w:tcPr>
          <w:p>
            <w:pPr>
              <w:ind w:left="20"/>
              <w:spacing w:after="0" w:line="124" w:lineRule="exact"/>
              <w:rPr>
                <w:sz w:val="20"/>
                <w:szCs w:val="20"/>
                <w:color w:val="auto"/>
              </w:rPr>
            </w:pPr>
            <w:r>
              <w:rPr>
                <w:rFonts w:ascii="Times New Roman" w:cs="Times New Roman" w:eastAsia="Times New Roman" w:hAnsi="Times New Roman"/>
                <w:sz w:val="14"/>
                <w:szCs w:val="14"/>
                <w:i w:val="1"/>
                <w:iCs w:val="1"/>
                <w:color w:val="343741"/>
              </w:rPr>
              <w:t>log-in, financial account, debit card,</w:t>
            </w:r>
          </w:p>
        </w:tc>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Background/credit check providers</w:t>
            </w:r>
          </w:p>
        </w:tc>
        <w:tc>
          <w:tcPr>
            <w:tcW w:w="2600" w:type="dxa"/>
            <w:vAlign w:val="bottom"/>
          </w:tcPr>
          <w:p>
            <w:pPr>
              <w:ind w:left="40"/>
              <w:spacing w:after="0" w:line="124" w:lineRule="exact"/>
              <w:rPr>
                <w:sz w:val="20"/>
                <w:szCs w:val="20"/>
                <w:color w:val="auto"/>
              </w:rPr>
            </w:pPr>
            <w:r>
              <w:rPr>
                <w:rFonts w:ascii="Times New Roman" w:cs="Times New Roman" w:eastAsia="Times New Roman" w:hAnsi="Times New Roman"/>
                <w:sz w:val="14"/>
                <w:szCs w:val="14"/>
                <w:color w:val="343741"/>
              </w:rPr>
              <w:t>enforce the same;</w:t>
            </w:r>
          </w:p>
        </w:tc>
        <w:tc>
          <w:tcPr>
            <w:tcW w:w="366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4"/>
                <w:szCs w:val="14"/>
                <w:color w:val="343741"/>
              </w:rPr>
              <w:t>purposes;</w:t>
            </w:r>
          </w:p>
        </w:tc>
        <w:tc>
          <w:tcPr>
            <w:tcW w:w="0" w:type="dxa"/>
            <w:vAlign w:val="bottom"/>
          </w:tcPr>
          <w:p>
            <w:pPr>
              <w:spacing w:after="0"/>
              <w:rPr>
                <w:sz w:val="1"/>
                <w:szCs w:val="1"/>
                <w:color w:val="auto"/>
              </w:rPr>
            </w:pPr>
          </w:p>
        </w:tc>
      </w:tr>
      <w:tr>
        <w:trPr>
          <w:trHeight w:val="187"/>
        </w:trPr>
        <w:tc>
          <w:tcPr>
            <w:tcW w:w="200" w:type="dxa"/>
            <w:vAlign w:val="bottom"/>
            <w:tcBorders>
              <w:right w:val="single" w:sz="8" w:color="auto"/>
            </w:tcBorders>
          </w:tcPr>
          <w:p>
            <w:pPr>
              <w:spacing w:after="0"/>
              <w:rPr>
                <w:sz w:val="16"/>
                <w:szCs w:val="16"/>
                <w:color w:val="auto"/>
              </w:rPr>
            </w:pP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343741"/>
              </w:rPr>
              <w:t>or credit card number, in</w:t>
            </w:r>
          </w:p>
        </w:tc>
        <w:tc>
          <w:tcPr>
            <w:tcW w:w="2580" w:type="dxa"/>
            <w:vAlign w:val="bottom"/>
            <w:vMerge w:val="continue"/>
          </w:tcPr>
          <w:p>
            <w:pPr>
              <w:spacing w:after="0"/>
              <w:rPr>
                <w:sz w:val="16"/>
                <w:szCs w:val="16"/>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4"/>
                <w:szCs w:val="14"/>
                <w:color w:val="343741"/>
              </w:rPr>
              <w:t>• To carry out anti-money laundering and</w:t>
            </w:r>
          </w:p>
        </w:tc>
        <w:tc>
          <w:tcPr>
            <w:tcW w:w="3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Transaction partners, including to facilitate the diligence,</w:t>
            </w:r>
          </w:p>
        </w:tc>
        <w:tc>
          <w:tcPr>
            <w:tcW w:w="0" w:type="dxa"/>
            <w:vAlign w:val="bottom"/>
          </w:tcPr>
          <w:p>
            <w:pPr>
              <w:spacing w:after="0"/>
              <w:rPr>
                <w:sz w:val="1"/>
                <w:szCs w:val="1"/>
                <w:color w:val="auto"/>
              </w:rPr>
            </w:pPr>
          </w:p>
        </w:tc>
      </w:tr>
      <w:tr>
        <w:trPr>
          <w:trHeight w:val="148"/>
        </w:trPr>
        <w:tc>
          <w:tcPr>
            <w:tcW w:w="20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343741"/>
              </w:rPr>
              <w:t>combination with any required</w:t>
            </w:r>
          </w:p>
        </w:tc>
        <w:tc>
          <w:tcPr>
            <w:tcW w:w="2580" w:type="dxa"/>
            <w:vAlign w:val="bottom"/>
          </w:tcPr>
          <w:p>
            <w:pPr>
              <w:spacing w:after="0"/>
              <w:rPr>
                <w:sz w:val="12"/>
                <w:szCs w:val="12"/>
                <w:color w:val="auto"/>
              </w:rPr>
            </w:pPr>
          </w:p>
        </w:tc>
        <w:tc>
          <w:tcPr>
            <w:tcW w:w="26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343741"/>
              </w:rPr>
              <w:t>other compliance checks and controls; and</w:t>
            </w:r>
          </w:p>
        </w:tc>
        <w:tc>
          <w:tcPr>
            <w:tcW w:w="3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0" w:type="dxa"/>
            <w:vAlign w:val="bottom"/>
            <w:tcBorders>
              <w:right w:val="single" w:sz="8" w:color="auto"/>
            </w:tcBorders>
          </w:tcPr>
          <w:p>
            <w:pPr>
              <w:spacing w:after="0"/>
              <w:rPr>
                <w:sz w:val="9"/>
                <w:szCs w:val="9"/>
                <w:color w:val="auto"/>
              </w:rPr>
            </w:pPr>
          </w:p>
        </w:tc>
        <w:tc>
          <w:tcPr>
            <w:tcW w:w="2200" w:type="dxa"/>
            <w:vAlign w:val="bottom"/>
            <w:tcBorders>
              <w:right w:val="single" w:sz="8" w:color="auto"/>
            </w:tcBorders>
          </w:tcPr>
          <w:p>
            <w:pPr>
              <w:ind w:left="20"/>
              <w:spacing w:after="0" w:line="108" w:lineRule="exact"/>
              <w:rPr>
                <w:sz w:val="20"/>
                <w:szCs w:val="20"/>
                <w:color w:val="auto"/>
              </w:rPr>
            </w:pPr>
            <w:r>
              <w:rPr>
                <w:rFonts w:ascii="Times New Roman" w:cs="Times New Roman" w:eastAsia="Times New Roman" w:hAnsi="Times New Roman"/>
                <w:sz w:val="12"/>
                <w:szCs w:val="12"/>
                <w:i w:val="1"/>
                <w:iCs w:val="1"/>
                <w:color w:val="343741"/>
              </w:rPr>
              <w:t>security or access code, password,</w:t>
            </w:r>
          </w:p>
        </w:tc>
        <w:tc>
          <w:tcPr>
            <w:tcW w:w="2580" w:type="dxa"/>
            <w:vAlign w:val="bottom"/>
          </w:tcPr>
          <w:p>
            <w:pPr>
              <w:spacing w:after="0"/>
              <w:rPr>
                <w:sz w:val="9"/>
                <w:szCs w:val="9"/>
                <w:color w:val="auto"/>
              </w:rPr>
            </w:pPr>
          </w:p>
        </w:tc>
        <w:tc>
          <w:tcPr>
            <w:tcW w:w="2600" w:type="dxa"/>
            <w:vAlign w:val="bottom"/>
            <w:vMerge w:val="restart"/>
          </w:tcPr>
          <w:p>
            <w:pPr>
              <w:spacing w:after="0"/>
              <w:rPr>
                <w:sz w:val="20"/>
                <w:szCs w:val="20"/>
                <w:color w:val="auto"/>
              </w:rPr>
            </w:pPr>
            <w:r>
              <w:rPr>
                <w:rFonts w:ascii="Times New Roman" w:cs="Times New Roman" w:eastAsia="Times New Roman" w:hAnsi="Times New Roman"/>
                <w:sz w:val="14"/>
                <w:szCs w:val="14"/>
                <w:color w:val="343741"/>
              </w:rPr>
              <w:t>•To verify your identity or for other fraud</w:t>
            </w:r>
          </w:p>
        </w:tc>
        <w:tc>
          <w:tcPr>
            <w:tcW w:w="366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2"/>
                <w:szCs w:val="12"/>
                <w:color w:val="343741"/>
              </w:rPr>
              <w:t>negotiation, and completion phases of transactions</w:t>
            </w:r>
          </w:p>
        </w:tc>
        <w:tc>
          <w:tcPr>
            <w:tcW w:w="0" w:type="dxa"/>
            <w:vAlign w:val="bottom"/>
          </w:tcPr>
          <w:p>
            <w:pPr>
              <w:spacing w:after="0"/>
              <w:rPr>
                <w:sz w:val="1"/>
                <w:szCs w:val="1"/>
                <w:color w:val="auto"/>
              </w:rPr>
            </w:pPr>
          </w:p>
        </w:tc>
      </w:tr>
      <w:tr>
        <w:trPr>
          <w:trHeight w:val="148"/>
        </w:trPr>
        <w:tc>
          <w:tcPr>
            <w:tcW w:w="20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343741"/>
              </w:rPr>
              <w:t>or credential allowing access to an</w:t>
            </w:r>
          </w:p>
        </w:tc>
        <w:tc>
          <w:tcPr>
            <w:tcW w:w="2580" w:type="dxa"/>
            <w:vAlign w:val="bottom"/>
          </w:tcPr>
          <w:p>
            <w:pPr>
              <w:spacing w:after="0"/>
              <w:rPr>
                <w:sz w:val="12"/>
                <w:szCs w:val="12"/>
                <w:color w:val="auto"/>
              </w:rPr>
            </w:pPr>
          </w:p>
        </w:tc>
        <w:tc>
          <w:tcPr>
            <w:tcW w:w="2600" w:type="dxa"/>
            <w:vAlign w:val="bottom"/>
            <w:vMerge w:val="continue"/>
          </w:tcPr>
          <w:p>
            <w:pPr>
              <w:spacing w:after="0"/>
              <w:rPr>
                <w:sz w:val="12"/>
                <w:szCs w:val="12"/>
                <w:color w:val="auto"/>
              </w:rPr>
            </w:pPr>
          </w:p>
        </w:tc>
        <w:tc>
          <w:tcPr>
            <w:tcW w:w="36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343741"/>
              </w:rPr>
              <w:t>contemplated by us, our parent company, or affiliated</w:t>
            </w:r>
          </w:p>
        </w:tc>
        <w:tc>
          <w:tcPr>
            <w:tcW w:w="0" w:type="dxa"/>
            <w:vAlign w:val="bottom"/>
          </w:tcPr>
          <w:p>
            <w:pPr>
              <w:spacing w:after="0"/>
              <w:rPr>
                <w:sz w:val="1"/>
                <w:szCs w:val="1"/>
                <w:color w:val="auto"/>
              </w:rPr>
            </w:pPr>
          </w:p>
        </w:tc>
      </w:tr>
      <w:tr>
        <w:trPr>
          <w:trHeight w:val="193"/>
        </w:trPr>
        <w:tc>
          <w:tcPr>
            <w:tcW w:w="200" w:type="dxa"/>
            <w:vAlign w:val="bottom"/>
            <w:tcBorders>
              <w:right w:val="single" w:sz="8" w:color="auto"/>
            </w:tcBorders>
          </w:tcPr>
          <w:p>
            <w:pPr>
              <w:spacing w:after="0"/>
              <w:rPr>
                <w:sz w:val="16"/>
                <w:szCs w:val="16"/>
                <w:color w:val="auto"/>
              </w:rPr>
            </w:pP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343741"/>
              </w:rPr>
              <w:t>account.</w:t>
            </w:r>
          </w:p>
        </w:tc>
        <w:tc>
          <w:tcPr>
            <w:tcW w:w="2580" w:type="dxa"/>
            <w:vAlign w:val="bottom"/>
          </w:tcPr>
          <w:p>
            <w:pPr>
              <w:spacing w:after="0"/>
              <w:rPr>
                <w:sz w:val="16"/>
                <w:szCs w:val="16"/>
                <w:color w:val="auto"/>
              </w:rPr>
            </w:pPr>
          </w:p>
        </w:tc>
        <w:tc>
          <w:tcPr>
            <w:tcW w:w="2600" w:type="dxa"/>
            <w:vAlign w:val="bottom"/>
          </w:tcPr>
          <w:p>
            <w:pPr>
              <w:ind w:left="40"/>
              <w:spacing w:after="0"/>
              <w:rPr>
                <w:sz w:val="20"/>
                <w:szCs w:val="20"/>
                <w:color w:val="auto"/>
              </w:rPr>
            </w:pPr>
            <w:r>
              <w:rPr>
                <w:rFonts w:ascii="Times New Roman" w:cs="Times New Roman" w:eastAsia="Times New Roman" w:hAnsi="Times New Roman"/>
                <w:sz w:val="14"/>
                <w:szCs w:val="14"/>
                <w:color w:val="343741"/>
              </w:rPr>
              <w:t>and/or crime prevention</w:t>
            </w:r>
          </w:p>
        </w:tc>
        <w:tc>
          <w:tcPr>
            <w:tcW w:w="3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343741"/>
              </w:rPr>
              <w:t>operating companies; and</w:t>
            </w:r>
          </w:p>
        </w:tc>
        <w:tc>
          <w:tcPr>
            <w:tcW w:w="0" w:type="dxa"/>
            <w:vAlign w:val="bottom"/>
          </w:tcPr>
          <w:p>
            <w:pPr>
              <w:spacing w:after="0"/>
              <w:rPr>
                <w:sz w:val="1"/>
                <w:szCs w:val="1"/>
                <w:color w:val="auto"/>
              </w:rPr>
            </w:pPr>
          </w:p>
        </w:tc>
      </w:tr>
      <w:tr>
        <w:trPr>
          <w:trHeight w:val="203"/>
        </w:trPr>
        <w:tc>
          <w:tcPr>
            <w:tcW w:w="200" w:type="dxa"/>
            <w:vAlign w:val="bottom"/>
            <w:tcBorders>
              <w:right w:val="single" w:sz="8" w:color="auto"/>
            </w:tcBorders>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25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660" w:type="dxa"/>
            <w:vAlign w:val="bottom"/>
            <w:gridSpan w:val="2"/>
          </w:tcPr>
          <w:p>
            <w:pPr>
              <w:ind w:left="60"/>
              <w:spacing w:after="0" w:line="203"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Government authorities or other entities with legal</w:t>
            </w:r>
          </w:p>
        </w:tc>
        <w:tc>
          <w:tcPr>
            <w:tcW w:w="0" w:type="dxa"/>
            <w:vAlign w:val="bottom"/>
          </w:tcPr>
          <w:p>
            <w:pPr>
              <w:spacing w:after="0"/>
              <w:rPr>
                <w:sz w:val="1"/>
                <w:szCs w:val="1"/>
                <w:color w:val="auto"/>
              </w:rPr>
            </w:pPr>
          </w:p>
        </w:tc>
      </w:tr>
      <w:tr>
        <w:trPr>
          <w:trHeight w:val="188"/>
        </w:trPr>
        <w:tc>
          <w:tcPr>
            <w:tcW w:w="200" w:type="dxa"/>
            <w:vAlign w:val="bottom"/>
            <w:tcBorders>
              <w:right w:val="single" w:sz="8" w:color="auto"/>
            </w:tcBorders>
          </w:tcPr>
          <w:p>
            <w:pPr>
              <w:spacing w:after="0"/>
              <w:rPr>
                <w:sz w:val="16"/>
                <w:szCs w:val="16"/>
                <w:color w:val="auto"/>
              </w:rPr>
            </w:pPr>
          </w:p>
        </w:tc>
        <w:tc>
          <w:tcPr>
            <w:tcW w:w="2200" w:type="dxa"/>
            <w:vAlign w:val="bottom"/>
            <w:tcBorders>
              <w:right w:val="single" w:sz="8" w:color="auto"/>
            </w:tcBorders>
          </w:tcPr>
          <w:p>
            <w:pPr>
              <w:spacing w:after="0"/>
              <w:rPr>
                <w:sz w:val="16"/>
                <w:szCs w:val="16"/>
                <w:color w:val="auto"/>
              </w:rPr>
            </w:pPr>
          </w:p>
        </w:tc>
        <w:tc>
          <w:tcPr>
            <w:tcW w:w="2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343741"/>
              </w:rPr>
              <w:t>authority to request the information</w:t>
            </w:r>
          </w:p>
        </w:tc>
        <w:tc>
          <w:tcPr>
            <w:tcW w:w="0" w:type="dxa"/>
            <w:vAlign w:val="bottom"/>
          </w:tcPr>
          <w:p>
            <w:pPr>
              <w:spacing w:after="0"/>
              <w:rPr>
                <w:sz w:val="1"/>
                <w:szCs w:val="1"/>
                <w:color w:val="auto"/>
              </w:rPr>
            </w:pPr>
          </w:p>
        </w:tc>
      </w:tr>
      <w:tr>
        <w:trPr>
          <w:trHeight w:val="185"/>
        </w:trPr>
        <w:tc>
          <w:tcPr>
            <w:tcW w:w="200" w:type="dxa"/>
            <w:vAlign w:val="bottom"/>
            <w:tcBorders>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spacing w:after="0"/>
              <w:rPr>
                <w:sz w:val="16"/>
                <w:szCs w:val="16"/>
                <w:color w:val="auto"/>
              </w:rPr>
            </w:pPr>
          </w:p>
        </w:tc>
        <w:tc>
          <w:tcPr>
            <w:tcW w:w="25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tcPr>
          <w:p>
            <w:pPr>
              <w:spacing w:after="0"/>
              <w:rPr>
                <w:sz w:val="16"/>
                <w:szCs w:val="16"/>
                <w:color w:val="auto"/>
              </w:rPr>
            </w:pP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343741"/>
              </w:rPr>
              <w:t>Commercial information – such as</w:t>
            </w:r>
          </w:p>
        </w:tc>
        <w:tc>
          <w:tcPr>
            <w:tcW w:w="25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Directly from you;</w:t>
            </w:r>
          </w:p>
        </w:tc>
        <w:tc>
          <w:tcPr>
            <w:tcW w:w="26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343741"/>
              </w:rPr>
              <w:t>• To provide you services; and</w:t>
            </w:r>
          </w:p>
        </w:tc>
        <w:tc>
          <w:tcPr>
            <w:tcW w:w="350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Professional advisers, including depositories,</w:t>
            </w: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0" w:type="dxa"/>
            <w:vAlign w:val="bottom"/>
            <w:tcBorders>
              <w:right w:val="single" w:sz="8" w:color="auto"/>
            </w:tcBorders>
          </w:tcPr>
          <w:p>
            <w:pPr>
              <w:spacing w:after="0"/>
              <w:rPr>
                <w:sz w:val="16"/>
                <w:szCs w:val="16"/>
                <w:color w:val="auto"/>
              </w:rPr>
            </w:pP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343741"/>
              </w:rPr>
              <w:t>records of personal property,</w:t>
            </w:r>
          </w:p>
        </w:tc>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Automatically when you use our website or</w:t>
            </w:r>
          </w:p>
        </w:tc>
        <w:tc>
          <w:tcPr>
            <w:tcW w:w="2600" w:type="dxa"/>
            <w:vAlign w:val="bottom"/>
          </w:tcPr>
          <w:p>
            <w:pPr>
              <w:spacing w:after="0"/>
              <w:rPr>
                <w:sz w:val="20"/>
                <w:szCs w:val="20"/>
                <w:color w:val="auto"/>
              </w:rPr>
            </w:pPr>
            <w:r>
              <w:rPr>
                <w:rFonts w:ascii="Times New Roman" w:cs="Times New Roman" w:eastAsia="Times New Roman" w:hAnsi="Times New Roman"/>
                <w:sz w:val="14"/>
                <w:szCs w:val="14"/>
                <w:color w:val="343741"/>
              </w:rPr>
              <w:t>•To otherwise carry out our obligations</w:t>
            </w:r>
          </w:p>
        </w:tc>
        <w:tc>
          <w:tcPr>
            <w:tcW w:w="3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343741"/>
              </w:rPr>
              <w:t>administrators, custodians, investment advisers,</w:t>
            </w:r>
          </w:p>
        </w:tc>
        <w:tc>
          <w:tcPr>
            <w:tcW w:w="0" w:type="dxa"/>
            <w:vAlign w:val="bottom"/>
          </w:tcPr>
          <w:p>
            <w:pPr>
              <w:spacing w:after="0"/>
              <w:rPr>
                <w:sz w:val="1"/>
                <w:szCs w:val="1"/>
                <w:color w:val="auto"/>
              </w:rPr>
            </w:pPr>
          </w:p>
        </w:tc>
      </w:tr>
      <w:tr>
        <w:trPr>
          <w:trHeight w:val="148"/>
        </w:trPr>
        <w:tc>
          <w:tcPr>
            <w:tcW w:w="20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343741"/>
              </w:rPr>
              <w:t>products or services purchased,</w:t>
            </w:r>
          </w:p>
        </w:tc>
        <w:tc>
          <w:tcPr>
            <w:tcW w:w="2580" w:type="dxa"/>
            <w:vAlign w:val="bottom"/>
            <w:vMerge w:val="continue"/>
          </w:tcPr>
          <w:p>
            <w:pPr>
              <w:spacing w:after="0"/>
              <w:rPr>
                <w:sz w:val="12"/>
                <w:szCs w:val="12"/>
                <w:color w:val="auto"/>
              </w:rPr>
            </w:pPr>
          </w:p>
        </w:tc>
        <w:tc>
          <w:tcPr>
            <w:tcW w:w="26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343741"/>
              </w:rPr>
              <w:t>arising under our contract with you and to</w:t>
            </w:r>
          </w:p>
        </w:tc>
        <w:tc>
          <w:tcPr>
            <w:tcW w:w="36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343741"/>
              </w:rPr>
              <w:t>accountancy and legal firms, in order to provide us with</w:t>
            </w:r>
          </w:p>
        </w:tc>
        <w:tc>
          <w:tcPr>
            <w:tcW w:w="0" w:type="dxa"/>
            <w:vAlign w:val="bottom"/>
          </w:tcPr>
          <w:p>
            <w:pPr>
              <w:spacing w:after="0"/>
              <w:rPr>
                <w:sz w:val="1"/>
                <w:szCs w:val="1"/>
                <w:color w:val="auto"/>
              </w:rPr>
            </w:pPr>
          </w:p>
        </w:tc>
      </w:tr>
      <w:tr>
        <w:trPr>
          <w:trHeight w:val="149"/>
        </w:trPr>
        <w:tc>
          <w:tcPr>
            <w:tcW w:w="20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343741"/>
              </w:rPr>
              <w:t>obtained, or considered, or other</w:t>
            </w:r>
          </w:p>
        </w:tc>
        <w:tc>
          <w:tcPr>
            <w:tcW w:w="25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343741"/>
              </w:rPr>
              <w:t>services;</w:t>
            </w:r>
          </w:p>
        </w:tc>
        <w:tc>
          <w:tcPr>
            <w:tcW w:w="26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343741"/>
              </w:rPr>
              <w:t>enforce the same</w:t>
            </w:r>
          </w:p>
        </w:tc>
        <w:tc>
          <w:tcPr>
            <w:tcW w:w="36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343741"/>
              </w:rPr>
              <w:t>advice and services;</w:t>
            </w:r>
          </w:p>
        </w:tc>
        <w:tc>
          <w:tcPr>
            <w:tcW w:w="0" w:type="dxa"/>
            <w:vAlign w:val="bottom"/>
          </w:tcPr>
          <w:p>
            <w:pPr>
              <w:spacing w:after="0"/>
              <w:rPr>
                <w:sz w:val="1"/>
                <w:szCs w:val="1"/>
                <w:color w:val="auto"/>
              </w:rPr>
            </w:pPr>
          </w:p>
        </w:tc>
      </w:tr>
      <w:tr>
        <w:trPr>
          <w:trHeight w:val="72"/>
        </w:trPr>
        <w:tc>
          <w:tcPr>
            <w:tcW w:w="200" w:type="dxa"/>
            <w:vAlign w:val="bottom"/>
            <w:tcBorders>
              <w:right w:val="single" w:sz="8" w:color="auto"/>
            </w:tcBorders>
          </w:tcPr>
          <w:p>
            <w:pPr>
              <w:spacing w:after="0"/>
              <w:rPr>
                <w:sz w:val="6"/>
                <w:szCs w:val="6"/>
                <w:color w:val="auto"/>
              </w:rPr>
            </w:pPr>
          </w:p>
        </w:tc>
        <w:tc>
          <w:tcPr>
            <w:tcW w:w="2200" w:type="dxa"/>
            <w:vAlign w:val="bottom"/>
            <w:tcBorders>
              <w:right w:val="single" w:sz="8" w:color="auto"/>
            </w:tcBorders>
          </w:tcPr>
          <w:p>
            <w:pPr>
              <w:ind w:left="20"/>
              <w:spacing w:after="0" w:line="72" w:lineRule="exact"/>
              <w:rPr>
                <w:sz w:val="20"/>
                <w:szCs w:val="20"/>
                <w:color w:val="auto"/>
              </w:rPr>
            </w:pPr>
            <w:r>
              <w:rPr>
                <w:rFonts w:ascii="Times New Roman" w:cs="Times New Roman" w:eastAsia="Times New Roman" w:hAnsi="Times New Roman"/>
                <w:sz w:val="8"/>
                <w:szCs w:val="8"/>
                <w:color w:val="343741"/>
              </w:rPr>
              <w:t>purchasing or consuming histories or</w:t>
            </w:r>
          </w:p>
        </w:tc>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From third parties acting on your behalf;</w:t>
            </w:r>
          </w:p>
        </w:tc>
        <w:tc>
          <w:tcPr>
            <w:tcW w:w="2600" w:type="dxa"/>
            <w:vAlign w:val="bottom"/>
          </w:tcPr>
          <w:p>
            <w:pPr>
              <w:spacing w:after="0"/>
              <w:rPr>
                <w:sz w:val="6"/>
                <w:szCs w:val="6"/>
                <w:color w:val="auto"/>
              </w:rPr>
            </w:pPr>
          </w:p>
        </w:tc>
        <w:tc>
          <w:tcPr>
            <w:tcW w:w="3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Group companies, for business, marketing and operational</w:t>
            </w:r>
          </w:p>
        </w:tc>
        <w:tc>
          <w:tcPr>
            <w:tcW w:w="0" w:type="dxa"/>
            <w:vAlign w:val="bottom"/>
          </w:tcPr>
          <w:p>
            <w:pPr>
              <w:spacing w:after="0"/>
              <w:rPr>
                <w:sz w:val="1"/>
                <w:szCs w:val="1"/>
                <w:color w:val="auto"/>
              </w:rPr>
            </w:pPr>
          </w:p>
        </w:tc>
      </w:tr>
      <w:tr>
        <w:trPr>
          <w:trHeight w:val="171"/>
        </w:trPr>
        <w:tc>
          <w:tcPr>
            <w:tcW w:w="200" w:type="dxa"/>
            <w:vAlign w:val="bottom"/>
            <w:tcBorders>
              <w:right w:val="single" w:sz="8" w:color="auto"/>
            </w:tcBorders>
          </w:tcPr>
          <w:p>
            <w:pPr>
              <w:spacing w:after="0"/>
              <w:rPr>
                <w:sz w:val="14"/>
                <w:szCs w:val="14"/>
                <w:color w:val="auto"/>
              </w:rPr>
            </w:pP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343741"/>
              </w:rPr>
              <w:t>tendencies or other similar</w:t>
            </w:r>
          </w:p>
        </w:tc>
        <w:tc>
          <w:tcPr>
            <w:tcW w:w="2580" w:type="dxa"/>
            <w:vAlign w:val="bottom"/>
            <w:vMerge w:val="continue"/>
          </w:tcPr>
          <w:p>
            <w:pPr>
              <w:spacing w:after="0"/>
              <w:rPr>
                <w:sz w:val="14"/>
                <w:szCs w:val="14"/>
                <w:color w:val="auto"/>
              </w:rPr>
            </w:pPr>
          </w:p>
        </w:tc>
        <w:tc>
          <w:tcPr>
            <w:tcW w:w="2600" w:type="dxa"/>
            <w:vAlign w:val="bottom"/>
          </w:tcPr>
          <w:p>
            <w:pPr>
              <w:spacing w:after="0"/>
              <w:rPr>
                <w:sz w:val="14"/>
                <w:szCs w:val="14"/>
                <w:color w:val="auto"/>
              </w:rPr>
            </w:pPr>
          </w:p>
        </w:tc>
        <w:tc>
          <w:tcPr>
            <w:tcW w:w="3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ind w:left="20"/>
              <w:spacing w:after="0" w:line="153" w:lineRule="exact"/>
              <w:rPr>
                <w:sz w:val="20"/>
                <w:szCs w:val="20"/>
                <w:color w:val="auto"/>
              </w:rPr>
            </w:pPr>
            <w:r>
              <w:rPr>
                <w:rFonts w:ascii="Times New Roman" w:cs="Times New Roman" w:eastAsia="Times New Roman" w:hAnsi="Times New Roman"/>
                <w:sz w:val="14"/>
                <w:szCs w:val="14"/>
                <w:color w:val="343741"/>
              </w:rPr>
              <w:t>identifiers</w:t>
            </w:r>
          </w:p>
        </w:tc>
        <w:tc>
          <w:tcPr>
            <w:tcW w:w="25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343741"/>
              </w:rPr>
              <w:t>including business partners and law firms;</w:t>
            </w:r>
          </w:p>
        </w:tc>
        <w:tc>
          <w:tcPr>
            <w:tcW w:w="2600" w:type="dxa"/>
            <w:vAlign w:val="bottom"/>
          </w:tcPr>
          <w:p>
            <w:pPr>
              <w:spacing w:after="0"/>
              <w:rPr>
                <w:sz w:val="13"/>
                <w:szCs w:val="13"/>
                <w:color w:val="auto"/>
              </w:rPr>
            </w:pPr>
          </w:p>
        </w:tc>
        <w:tc>
          <w:tcPr>
            <w:tcW w:w="3660" w:type="dxa"/>
            <w:vAlign w:val="bottom"/>
            <w:gridSpan w:val="2"/>
          </w:tcPr>
          <w:p>
            <w:pPr>
              <w:ind w:left="100"/>
              <w:spacing w:after="0" w:line="153" w:lineRule="exact"/>
              <w:rPr>
                <w:sz w:val="20"/>
                <w:szCs w:val="20"/>
                <w:color w:val="auto"/>
              </w:rPr>
            </w:pPr>
            <w:r>
              <w:rPr>
                <w:rFonts w:ascii="Times New Roman" w:cs="Times New Roman" w:eastAsia="Times New Roman" w:hAnsi="Times New Roman"/>
                <w:sz w:val="14"/>
                <w:szCs w:val="14"/>
                <w:color w:val="343741"/>
              </w:rPr>
              <w:t>purposes;</w:t>
            </w:r>
          </w:p>
        </w:tc>
        <w:tc>
          <w:tcPr>
            <w:tcW w:w="0" w:type="dxa"/>
            <w:vAlign w:val="bottom"/>
          </w:tcPr>
          <w:p>
            <w:pPr>
              <w:spacing w:after="0"/>
              <w:rPr>
                <w:sz w:val="1"/>
                <w:szCs w:val="1"/>
                <w:color w:val="auto"/>
              </w:rPr>
            </w:pPr>
          </w:p>
        </w:tc>
      </w:tr>
      <w:tr>
        <w:trPr>
          <w:trHeight w:val="188"/>
        </w:trPr>
        <w:tc>
          <w:tcPr>
            <w:tcW w:w="200" w:type="dxa"/>
            <w:vAlign w:val="bottom"/>
            <w:tcBorders>
              <w:right w:val="single" w:sz="8" w:color="auto"/>
            </w:tcBorders>
          </w:tcPr>
          <w:p>
            <w:pPr>
              <w:spacing w:after="0"/>
              <w:rPr>
                <w:sz w:val="16"/>
                <w:szCs w:val="16"/>
                <w:color w:val="auto"/>
              </w:rPr>
            </w:pPr>
          </w:p>
        </w:tc>
        <w:tc>
          <w:tcPr>
            <w:tcW w:w="2200" w:type="dxa"/>
            <w:vAlign w:val="bottom"/>
            <w:tcBorders>
              <w:right w:val="single" w:sz="8" w:color="auto"/>
            </w:tcBorders>
          </w:tcPr>
          <w:p>
            <w:pPr>
              <w:spacing w:after="0"/>
              <w:rPr>
                <w:sz w:val="16"/>
                <w:szCs w:val="16"/>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4"/>
                <w:szCs w:val="14"/>
                <w:color w:val="343741"/>
              </w:rPr>
              <w:t>and</w:t>
            </w:r>
          </w:p>
        </w:tc>
        <w:tc>
          <w:tcPr>
            <w:tcW w:w="2600" w:type="dxa"/>
            <w:vAlign w:val="bottom"/>
          </w:tcPr>
          <w:p>
            <w:pPr>
              <w:spacing w:after="0"/>
              <w:rPr>
                <w:sz w:val="16"/>
                <w:szCs w:val="16"/>
                <w:color w:val="auto"/>
              </w:rPr>
            </w:pPr>
          </w:p>
        </w:tc>
        <w:tc>
          <w:tcPr>
            <w:tcW w:w="3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Transaction partners, including to facilitate the diligence,</w:t>
            </w:r>
          </w:p>
        </w:tc>
        <w:tc>
          <w:tcPr>
            <w:tcW w:w="0" w:type="dxa"/>
            <w:vAlign w:val="bottom"/>
          </w:tcPr>
          <w:p>
            <w:pPr>
              <w:spacing w:after="0"/>
              <w:rPr>
                <w:sz w:val="1"/>
                <w:szCs w:val="1"/>
                <w:color w:val="auto"/>
              </w:rPr>
            </w:pPr>
          </w:p>
        </w:tc>
      </w:tr>
      <w:tr>
        <w:trPr>
          <w:trHeight w:val="82"/>
        </w:trPr>
        <w:tc>
          <w:tcPr>
            <w:tcW w:w="200" w:type="dxa"/>
            <w:vAlign w:val="bottom"/>
            <w:tcBorders>
              <w:right w:val="single" w:sz="8" w:color="auto"/>
            </w:tcBorders>
          </w:tcPr>
          <w:p>
            <w:pPr>
              <w:spacing w:after="0"/>
              <w:rPr>
                <w:sz w:val="7"/>
                <w:szCs w:val="7"/>
                <w:color w:val="auto"/>
              </w:rPr>
            </w:pPr>
          </w:p>
        </w:tc>
        <w:tc>
          <w:tcPr>
            <w:tcW w:w="2200" w:type="dxa"/>
            <w:vAlign w:val="bottom"/>
            <w:tcBorders>
              <w:right w:val="single" w:sz="8" w:color="auto"/>
            </w:tcBorders>
          </w:tcPr>
          <w:p>
            <w:pPr>
              <w:spacing w:after="0"/>
              <w:rPr>
                <w:sz w:val="7"/>
                <w:szCs w:val="7"/>
                <w:color w:val="auto"/>
              </w:rPr>
            </w:pPr>
          </w:p>
        </w:tc>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Through publicly available sources</w:t>
            </w:r>
          </w:p>
        </w:tc>
        <w:tc>
          <w:tcPr>
            <w:tcW w:w="2600" w:type="dxa"/>
            <w:vAlign w:val="bottom"/>
          </w:tcPr>
          <w:p>
            <w:pPr>
              <w:spacing w:after="0"/>
              <w:rPr>
                <w:sz w:val="7"/>
                <w:szCs w:val="7"/>
                <w:color w:val="auto"/>
              </w:rPr>
            </w:pPr>
          </w:p>
        </w:tc>
        <w:tc>
          <w:tcPr>
            <w:tcW w:w="3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0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tcPr>
          <w:p>
            <w:pPr>
              <w:spacing w:after="0"/>
              <w:rPr>
                <w:sz w:val="12"/>
                <w:szCs w:val="12"/>
                <w:color w:val="auto"/>
              </w:rPr>
            </w:pPr>
          </w:p>
        </w:tc>
        <w:tc>
          <w:tcPr>
            <w:tcW w:w="2580" w:type="dxa"/>
            <w:vAlign w:val="bottom"/>
            <w:vMerge w:val="continue"/>
          </w:tcPr>
          <w:p>
            <w:pPr>
              <w:spacing w:after="0"/>
              <w:rPr>
                <w:sz w:val="12"/>
                <w:szCs w:val="12"/>
                <w:color w:val="auto"/>
              </w:rPr>
            </w:pPr>
          </w:p>
        </w:tc>
        <w:tc>
          <w:tcPr>
            <w:tcW w:w="2600" w:type="dxa"/>
            <w:vAlign w:val="bottom"/>
          </w:tcPr>
          <w:p>
            <w:pPr>
              <w:spacing w:after="0"/>
              <w:rPr>
                <w:sz w:val="12"/>
                <w:szCs w:val="12"/>
                <w:color w:val="auto"/>
              </w:rPr>
            </w:pPr>
          </w:p>
        </w:tc>
        <w:tc>
          <w:tcPr>
            <w:tcW w:w="36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343741"/>
              </w:rPr>
              <w:t>negotiation, and completion phases of transactions</w:t>
            </w:r>
          </w:p>
        </w:tc>
        <w:tc>
          <w:tcPr>
            <w:tcW w:w="0" w:type="dxa"/>
            <w:vAlign w:val="bottom"/>
          </w:tcPr>
          <w:p>
            <w:pPr>
              <w:spacing w:after="0"/>
              <w:rPr>
                <w:sz w:val="1"/>
                <w:szCs w:val="1"/>
                <w:color w:val="auto"/>
              </w:rPr>
            </w:pPr>
          </w:p>
        </w:tc>
      </w:tr>
      <w:tr>
        <w:trPr>
          <w:trHeight w:val="148"/>
        </w:trPr>
        <w:tc>
          <w:tcPr>
            <w:tcW w:w="20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tcPr>
          <w:p>
            <w:pPr>
              <w:spacing w:after="0"/>
              <w:rPr>
                <w:sz w:val="12"/>
                <w:szCs w:val="12"/>
                <w:color w:val="auto"/>
              </w:rPr>
            </w:pPr>
          </w:p>
        </w:tc>
        <w:tc>
          <w:tcPr>
            <w:tcW w:w="25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6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343741"/>
              </w:rPr>
              <w:t>contemplated by us, our parent company, or affiliated</w:t>
            </w:r>
          </w:p>
        </w:tc>
        <w:tc>
          <w:tcPr>
            <w:tcW w:w="0" w:type="dxa"/>
            <w:vAlign w:val="bottom"/>
          </w:tcPr>
          <w:p>
            <w:pPr>
              <w:spacing w:after="0"/>
              <w:rPr>
                <w:sz w:val="1"/>
                <w:szCs w:val="1"/>
                <w:color w:val="auto"/>
              </w:rPr>
            </w:pPr>
          </w:p>
        </w:tc>
      </w:tr>
      <w:tr>
        <w:trPr>
          <w:trHeight w:val="188"/>
        </w:trPr>
        <w:tc>
          <w:tcPr>
            <w:tcW w:w="200" w:type="dxa"/>
            <w:vAlign w:val="bottom"/>
            <w:tcBorders>
              <w:right w:val="single" w:sz="8" w:color="auto"/>
            </w:tcBorders>
          </w:tcPr>
          <w:p>
            <w:pPr>
              <w:spacing w:after="0"/>
              <w:rPr>
                <w:sz w:val="16"/>
                <w:szCs w:val="16"/>
                <w:color w:val="auto"/>
              </w:rPr>
            </w:pPr>
          </w:p>
        </w:tc>
        <w:tc>
          <w:tcPr>
            <w:tcW w:w="2200" w:type="dxa"/>
            <w:vAlign w:val="bottom"/>
            <w:tcBorders>
              <w:right w:val="single" w:sz="8" w:color="auto"/>
            </w:tcBorders>
          </w:tcPr>
          <w:p>
            <w:pPr>
              <w:spacing w:after="0"/>
              <w:rPr>
                <w:sz w:val="16"/>
                <w:szCs w:val="16"/>
                <w:color w:val="auto"/>
              </w:rPr>
            </w:pPr>
          </w:p>
        </w:tc>
        <w:tc>
          <w:tcPr>
            <w:tcW w:w="2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343741"/>
              </w:rPr>
              <w:t>operating companies; and</w:t>
            </w:r>
          </w:p>
        </w:tc>
        <w:tc>
          <w:tcPr>
            <w:tcW w:w="0" w:type="dxa"/>
            <w:vAlign w:val="bottom"/>
          </w:tcPr>
          <w:p>
            <w:pPr>
              <w:spacing w:after="0"/>
              <w:rPr>
                <w:sz w:val="1"/>
                <w:szCs w:val="1"/>
                <w:color w:val="auto"/>
              </w:rPr>
            </w:pPr>
          </w:p>
        </w:tc>
      </w:tr>
      <w:tr>
        <w:trPr>
          <w:trHeight w:val="230"/>
        </w:trPr>
        <w:tc>
          <w:tcPr>
            <w:tcW w:w="200" w:type="dxa"/>
            <w:vAlign w:val="bottom"/>
            <w:tcBorders>
              <w:right w:val="single" w:sz="8" w:color="auto"/>
            </w:tcBorders>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2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Government authorities or other entities with legal</w:t>
            </w:r>
          </w:p>
        </w:tc>
        <w:tc>
          <w:tcPr>
            <w:tcW w:w="0" w:type="dxa"/>
            <w:vAlign w:val="bottom"/>
          </w:tcPr>
          <w:p>
            <w:pPr>
              <w:spacing w:after="0"/>
              <w:rPr>
                <w:sz w:val="1"/>
                <w:szCs w:val="1"/>
                <w:color w:val="auto"/>
              </w:rPr>
            </w:pPr>
          </w:p>
        </w:tc>
      </w:tr>
      <w:tr>
        <w:trPr>
          <w:trHeight w:val="188"/>
        </w:trPr>
        <w:tc>
          <w:tcPr>
            <w:tcW w:w="200" w:type="dxa"/>
            <w:vAlign w:val="bottom"/>
            <w:tcBorders>
              <w:right w:val="single" w:sz="8" w:color="auto"/>
            </w:tcBorders>
          </w:tcPr>
          <w:p>
            <w:pPr>
              <w:spacing w:after="0"/>
              <w:rPr>
                <w:sz w:val="16"/>
                <w:szCs w:val="16"/>
                <w:color w:val="auto"/>
              </w:rPr>
            </w:pPr>
          </w:p>
        </w:tc>
        <w:tc>
          <w:tcPr>
            <w:tcW w:w="2200" w:type="dxa"/>
            <w:vAlign w:val="bottom"/>
            <w:tcBorders>
              <w:right w:val="single" w:sz="8" w:color="auto"/>
            </w:tcBorders>
          </w:tcPr>
          <w:p>
            <w:pPr>
              <w:spacing w:after="0"/>
              <w:rPr>
                <w:sz w:val="16"/>
                <w:szCs w:val="16"/>
                <w:color w:val="auto"/>
              </w:rPr>
            </w:pPr>
          </w:p>
        </w:tc>
        <w:tc>
          <w:tcPr>
            <w:tcW w:w="2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343741"/>
              </w:rPr>
              <w:t>authority to request the information</w:t>
            </w:r>
          </w:p>
        </w:tc>
        <w:tc>
          <w:tcPr>
            <w:tcW w:w="0" w:type="dxa"/>
            <w:vAlign w:val="bottom"/>
          </w:tcPr>
          <w:p>
            <w:pPr>
              <w:spacing w:after="0"/>
              <w:rPr>
                <w:sz w:val="1"/>
                <w:szCs w:val="1"/>
                <w:color w:val="auto"/>
              </w:rPr>
            </w:pPr>
          </w:p>
        </w:tc>
      </w:tr>
      <w:tr>
        <w:trPr>
          <w:trHeight w:val="753"/>
        </w:trPr>
        <w:tc>
          <w:tcPr>
            <w:tcW w:w="200" w:type="dxa"/>
            <w:vAlign w:val="bottom"/>
            <w:tcBorders>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w:t>
            </w:r>
          </w:p>
        </w:tc>
        <w:tc>
          <w:tcPr>
            <w:tcW w:w="3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8"/>
        </w:trPr>
        <w:tc>
          <w:tcPr>
            <w:tcW w:w="2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35" w:name="page36"/>
    <w:bookmarkEnd w:id="35"/>
    <w:tbl>
      <w:tblPr>
        <w:tblLayout w:type="fixed"/>
        <w:tblInd w:w="190" w:type="dxa"/>
        <w:tblCellMar>
          <w:top w:w="0" w:type="dxa"/>
          <w:left w:w="0" w:type="dxa"/>
          <w:bottom w:w="0" w:type="dxa"/>
          <w:right w:w="0" w:type="dxa"/>
        </w:tblCellMar>
      </w:tblPr>
      <w:tr>
        <w:trPr>
          <w:trHeight w:val="179"/>
        </w:trPr>
        <w:tc>
          <w:tcPr>
            <w:tcW w:w="22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343741"/>
              </w:rPr>
              <w:t>Education or other professional</w:t>
            </w:r>
          </w:p>
        </w:tc>
        <w:tc>
          <w:tcPr>
            <w:tcW w:w="2580" w:type="dxa"/>
            <w:vAlign w:val="bottom"/>
            <w:tcBorders>
              <w:top w:val="single" w:sz="8" w:color="auto"/>
            </w:tcBorders>
          </w:tcPr>
          <w:p>
            <w:pPr>
              <w:spacing w:after="0" w:line="179"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Directly from you;</w:t>
            </w:r>
          </w:p>
        </w:tc>
        <w:tc>
          <w:tcPr>
            <w:tcW w:w="2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343741"/>
              </w:rPr>
              <w:t>•To provide you services; and</w:t>
            </w:r>
          </w:p>
        </w:tc>
        <w:tc>
          <w:tcPr>
            <w:tcW w:w="3540" w:type="dxa"/>
            <w:vAlign w:val="bottom"/>
            <w:tcBorders>
              <w:top w:val="single" w:sz="8" w:color="auto"/>
            </w:tcBorders>
          </w:tcPr>
          <w:p>
            <w:pPr>
              <w:ind w:left="100"/>
              <w:spacing w:after="0" w:line="179"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Group companies, for business, marketing and operational</w:t>
            </w:r>
          </w:p>
        </w:tc>
        <w:tc>
          <w:tcPr>
            <w:tcW w:w="0" w:type="dxa"/>
            <w:vAlign w:val="bottom"/>
          </w:tcPr>
          <w:p>
            <w:pPr>
              <w:spacing w:after="0"/>
              <w:rPr>
                <w:sz w:val="1"/>
                <w:szCs w:val="1"/>
                <w:color w:val="auto"/>
              </w:rPr>
            </w:pPr>
          </w:p>
        </w:tc>
      </w:tr>
      <w:tr>
        <w:trPr>
          <w:trHeight w:val="189"/>
        </w:trPr>
        <w:tc>
          <w:tcPr>
            <w:tcW w:w="2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343741"/>
              </w:rPr>
              <w:t>information, including veteran status</w:t>
            </w:r>
          </w:p>
        </w:tc>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From your employer; and</w:t>
            </w:r>
          </w:p>
        </w:tc>
        <w:tc>
          <w:tcPr>
            <w:tcW w:w="2560" w:type="dxa"/>
            <w:vAlign w:val="bottom"/>
          </w:tcPr>
          <w:p>
            <w:pPr>
              <w:spacing w:after="0"/>
              <w:rPr>
                <w:sz w:val="20"/>
                <w:szCs w:val="20"/>
                <w:color w:val="auto"/>
              </w:rPr>
            </w:pPr>
            <w:r>
              <w:rPr>
                <w:rFonts w:ascii="Times New Roman" w:cs="Times New Roman" w:eastAsia="Times New Roman" w:hAnsi="Times New Roman"/>
                <w:sz w:val="14"/>
                <w:szCs w:val="14"/>
                <w:color w:val="343741"/>
              </w:rPr>
              <w:t>•To otherwise carry out our obligations</w:t>
            </w:r>
          </w:p>
        </w:tc>
        <w:tc>
          <w:tcPr>
            <w:tcW w:w="3540" w:type="dxa"/>
            <w:vAlign w:val="bottom"/>
          </w:tcPr>
          <w:p>
            <w:pPr>
              <w:ind w:left="140"/>
              <w:spacing w:after="0"/>
              <w:rPr>
                <w:sz w:val="20"/>
                <w:szCs w:val="20"/>
                <w:color w:val="auto"/>
              </w:rPr>
            </w:pPr>
            <w:r>
              <w:rPr>
                <w:rFonts w:ascii="Times New Roman" w:cs="Times New Roman" w:eastAsia="Times New Roman" w:hAnsi="Times New Roman"/>
                <w:sz w:val="14"/>
                <w:szCs w:val="14"/>
                <w:color w:val="343741"/>
              </w:rPr>
              <w:t>purposes;</w:t>
            </w:r>
          </w:p>
        </w:tc>
        <w:tc>
          <w:tcPr>
            <w:tcW w:w="0" w:type="dxa"/>
            <w:vAlign w:val="bottom"/>
          </w:tcPr>
          <w:p>
            <w:pPr>
              <w:spacing w:after="0"/>
              <w:rPr>
                <w:sz w:val="1"/>
                <w:szCs w:val="1"/>
                <w:color w:val="auto"/>
              </w:rPr>
            </w:pPr>
          </w:p>
        </w:tc>
      </w:tr>
      <w:tr>
        <w:trPr>
          <w:trHeight w:val="188"/>
        </w:trPr>
        <w:tc>
          <w:tcPr>
            <w:tcW w:w="2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343741"/>
              </w:rPr>
              <w:t>or other similar identifiers</w:t>
            </w:r>
          </w:p>
        </w:tc>
        <w:tc>
          <w:tcPr>
            <w:tcW w:w="2580" w:type="dxa"/>
            <w:vAlign w:val="bottom"/>
            <w:vMerge w:val="continue"/>
          </w:tcPr>
          <w:p>
            <w:pPr>
              <w:spacing w:after="0"/>
              <w:rPr>
                <w:sz w:val="16"/>
                <w:szCs w:val="16"/>
                <w:color w:val="auto"/>
              </w:rPr>
            </w:pPr>
          </w:p>
        </w:tc>
        <w:tc>
          <w:tcPr>
            <w:tcW w:w="25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343741"/>
              </w:rPr>
              <w:t>arising under our contract with you and to</w:t>
            </w:r>
          </w:p>
        </w:tc>
        <w:tc>
          <w:tcPr>
            <w:tcW w:w="35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Transaction partners, including to facilitate the diligence,</w:t>
            </w:r>
          </w:p>
        </w:tc>
        <w:tc>
          <w:tcPr>
            <w:tcW w:w="0" w:type="dxa"/>
            <w:vAlign w:val="bottom"/>
          </w:tcPr>
          <w:p>
            <w:pPr>
              <w:spacing w:after="0"/>
              <w:rPr>
                <w:sz w:val="1"/>
                <w:szCs w:val="1"/>
                <w:color w:val="auto"/>
              </w:rPr>
            </w:pPr>
          </w:p>
        </w:tc>
      </w:tr>
      <w:tr>
        <w:trPr>
          <w:trHeight w:val="41"/>
        </w:trPr>
        <w:tc>
          <w:tcPr>
            <w:tcW w:w="2220" w:type="dxa"/>
            <w:vAlign w:val="bottom"/>
            <w:tcBorders>
              <w:left w:val="single" w:sz="8" w:color="auto"/>
              <w:right w:val="single" w:sz="8" w:color="auto"/>
            </w:tcBorders>
          </w:tcPr>
          <w:p>
            <w:pPr>
              <w:spacing w:after="0"/>
              <w:rPr>
                <w:sz w:val="3"/>
                <w:szCs w:val="3"/>
                <w:color w:val="auto"/>
              </w:rPr>
            </w:pPr>
          </w:p>
        </w:tc>
        <w:tc>
          <w:tcPr>
            <w:tcW w:w="258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3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220" w:type="dxa"/>
            <w:vAlign w:val="bottom"/>
            <w:tcBorders>
              <w:left w:val="single" w:sz="8" w:color="auto"/>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i w:val="1"/>
                <w:iCs w:val="1"/>
                <w:color w:val="343741"/>
              </w:rPr>
              <w:t>NOTE: The information in this</w:t>
            </w:r>
          </w:p>
        </w:tc>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Through publicly available sources</w:t>
            </w:r>
          </w:p>
        </w:tc>
        <w:tc>
          <w:tcPr>
            <w:tcW w:w="25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343741"/>
              </w:rPr>
              <w:t>enforce the same</w:t>
            </w:r>
          </w:p>
        </w:tc>
        <w:tc>
          <w:tcPr>
            <w:tcW w:w="35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343741"/>
              </w:rPr>
              <w:t>negotiation, and completion phases of transactions</w:t>
            </w:r>
          </w:p>
        </w:tc>
        <w:tc>
          <w:tcPr>
            <w:tcW w:w="0" w:type="dxa"/>
            <w:vAlign w:val="bottom"/>
          </w:tcPr>
          <w:p>
            <w:pPr>
              <w:spacing w:after="0"/>
              <w:rPr>
                <w:sz w:val="1"/>
                <w:szCs w:val="1"/>
                <w:color w:val="auto"/>
              </w:rPr>
            </w:pPr>
          </w:p>
        </w:tc>
      </w:tr>
      <w:tr>
        <w:trPr>
          <w:trHeight w:val="148"/>
        </w:trPr>
        <w:tc>
          <w:tcPr>
            <w:tcW w:w="2220" w:type="dxa"/>
            <w:vAlign w:val="bottom"/>
            <w:tcBorders>
              <w:left w:val="single" w:sz="8" w:color="auto"/>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i w:val="1"/>
                <w:iCs w:val="1"/>
                <w:color w:val="343741"/>
              </w:rPr>
              <w:t>category may include the following</w:t>
            </w:r>
          </w:p>
        </w:tc>
        <w:tc>
          <w:tcPr>
            <w:tcW w:w="2580" w:type="dxa"/>
            <w:vAlign w:val="bottom"/>
            <w:vMerge w:val="continue"/>
          </w:tcPr>
          <w:p>
            <w:pPr>
              <w:spacing w:after="0"/>
              <w:rPr>
                <w:sz w:val="12"/>
                <w:szCs w:val="12"/>
                <w:color w:val="auto"/>
              </w:rPr>
            </w:pPr>
          </w:p>
        </w:tc>
        <w:tc>
          <w:tcPr>
            <w:tcW w:w="2560" w:type="dxa"/>
            <w:vAlign w:val="bottom"/>
          </w:tcPr>
          <w:p>
            <w:pPr>
              <w:spacing w:after="0"/>
              <w:rPr>
                <w:sz w:val="12"/>
                <w:szCs w:val="12"/>
                <w:color w:val="auto"/>
              </w:rPr>
            </w:pPr>
          </w:p>
        </w:tc>
        <w:tc>
          <w:tcPr>
            <w:tcW w:w="35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343741"/>
              </w:rPr>
              <w:t>contemplated by you, us, our parent company, or affiliated</w:t>
            </w:r>
          </w:p>
        </w:tc>
        <w:tc>
          <w:tcPr>
            <w:tcW w:w="0" w:type="dxa"/>
            <w:vAlign w:val="bottom"/>
          </w:tcPr>
          <w:p>
            <w:pPr>
              <w:spacing w:after="0"/>
              <w:rPr>
                <w:sz w:val="1"/>
                <w:szCs w:val="1"/>
                <w:color w:val="auto"/>
              </w:rPr>
            </w:pPr>
          </w:p>
        </w:tc>
      </w:tr>
      <w:tr>
        <w:trPr>
          <w:trHeight w:val="148"/>
        </w:trPr>
        <w:tc>
          <w:tcPr>
            <w:tcW w:w="2220" w:type="dxa"/>
            <w:vAlign w:val="bottom"/>
            <w:tcBorders>
              <w:left w:val="single" w:sz="8" w:color="auto"/>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i w:val="1"/>
                <w:iCs w:val="1"/>
                <w:color w:val="343741"/>
              </w:rPr>
              <w:t>elements as defined in the Act as</w:t>
            </w:r>
          </w:p>
        </w:tc>
        <w:tc>
          <w:tcPr>
            <w:tcW w:w="25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5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343741"/>
              </w:rPr>
              <w:t>operating companies; and</w:t>
            </w:r>
          </w:p>
        </w:tc>
        <w:tc>
          <w:tcPr>
            <w:tcW w:w="0" w:type="dxa"/>
            <w:vAlign w:val="bottom"/>
          </w:tcPr>
          <w:p>
            <w:pPr>
              <w:spacing w:after="0"/>
              <w:rPr>
                <w:sz w:val="1"/>
                <w:szCs w:val="1"/>
                <w:color w:val="auto"/>
              </w:rPr>
            </w:pPr>
          </w:p>
        </w:tc>
      </w:tr>
      <w:tr>
        <w:trPr>
          <w:trHeight w:val="137"/>
        </w:trPr>
        <w:tc>
          <w:tcPr>
            <w:tcW w:w="2220" w:type="dxa"/>
            <w:vAlign w:val="bottom"/>
            <w:tcBorders>
              <w:left w:val="single" w:sz="8" w:color="auto"/>
              <w:right w:val="single" w:sz="8" w:color="auto"/>
            </w:tcBorders>
          </w:tcPr>
          <w:p>
            <w:pPr>
              <w:ind w:left="40"/>
              <w:spacing w:after="0" w:line="137" w:lineRule="exact"/>
              <w:rPr>
                <w:sz w:val="20"/>
                <w:szCs w:val="20"/>
                <w:color w:val="auto"/>
              </w:rPr>
            </w:pPr>
            <w:r>
              <w:rPr>
                <w:rFonts w:ascii="Times New Roman" w:cs="Times New Roman" w:eastAsia="Times New Roman" w:hAnsi="Times New Roman"/>
                <w:sz w:val="14"/>
                <w:szCs w:val="14"/>
                <w:i w:val="1"/>
                <w:iCs w:val="1"/>
                <w:color w:val="343741"/>
              </w:rPr>
              <w:t>Sensitive Personal Information:</w:t>
            </w:r>
          </w:p>
        </w:tc>
        <w:tc>
          <w:tcPr>
            <w:tcW w:w="25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35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Government authorities or other entities with legal</w:t>
            </w:r>
          </w:p>
        </w:tc>
        <w:tc>
          <w:tcPr>
            <w:tcW w:w="0" w:type="dxa"/>
            <w:vAlign w:val="bottom"/>
          </w:tcPr>
          <w:p>
            <w:pPr>
              <w:spacing w:after="0"/>
              <w:rPr>
                <w:sz w:val="1"/>
                <w:szCs w:val="1"/>
                <w:color w:val="auto"/>
              </w:rPr>
            </w:pPr>
          </w:p>
        </w:tc>
      </w:tr>
      <w:tr>
        <w:trPr>
          <w:trHeight w:val="151"/>
        </w:trPr>
        <w:tc>
          <w:tcPr>
            <w:tcW w:w="2220" w:type="dxa"/>
            <w:vAlign w:val="bottom"/>
            <w:tcBorders>
              <w:left w:val="single" w:sz="8" w:color="auto"/>
              <w:right w:val="single" w:sz="8" w:color="auto"/>
            </w:tcBorders>
          </w:tcPr>
          <w:p>
            <w:pPr>
              <w:ind w:left="40"/>
              <w:spacing w:after="0" w:line="151" w:lineRule="exact"/>
              <w:rPr>
                <w:sz w:val="20"/>
                <w:szCs w:val="20"/>
                <w:color w:val="auto"/>
              </w:rPr>
            </w:pPr>
            <w:r>
              <w:rPr>
                <w:rFonts w:ascii="Times New Roman" w:cs="Times New Roman" w:eastAsia="Times New Roman" w:hAnsi="Times New Roman"/>
                <w:sz w:val="14"/>
                <w:szCs w:val="14"/>
                <w:i w:val="1"/>
                <w:iCs w:val="1"/>
                <w:color w:val="343741"/>
              </w:rPr>
              <w:t>union membership.</w:t>
            </w:r>
          </w:p>
        </w:tc>
        <w:tc>
          <w:tcPr>
            <w:tcW w:w="25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20" w:type="dxa"/>
            <w:vAlign w:val="bottom"/>
            <w:tcBorders>
              <w:left w:val="single" w:sz="8" w:color="auto"/>
              <w:right w:val="single" w:sz="8" w:color="auto"/>
            </w:tcBorders>
          </w:tcPr>
          <w:p>
            <w:pPr>
              <w:spacing w:after="0"/>
              <w:rPr>
                <w:sz w:val="16"/>
                <w:szCs w:val="16"/>
                <w:color w:val="auto"/>
              </w:rPr>
            </w:pPr>
          </w:p>
        </w:tc>
        <w:tc>
          <w:tcPr>
            <w:tcW w:w="25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540" w:type="dxa"/>
            <w:vAlign w:val="bottom"/>
          </w:tcPr>
          <w:p>
            <w:pPr>
              <w:ind w:left="140"/>
              <w:spacing w:after="0"/>
              <w:rPr>
                <w:sz w:val="20"/>
                <w:szCs w:val="20"/>
                <w:color w:val="auto"/>
              </w:rPr>
            </w:pPr>
            <w:r>
              <w:rPr>
                <w:rFonts w:ascii="Times New Roman" w:cs="Times New Roman" w:eastAsia="Times New Roman" w:hAnsi="Times New Roman"/>
                <w:sz w:val="14"/>
                <w:szCs w:val="14"/>
                <w:color w:val="343741"/>
              </w:rPr>
              <w:t>authority to request the information</w:t>
            </w:r>
          </w:p>
        </w:tc>
        <w:tc>
          <w:tcPr>
            <w:tcW w:w="0" w:type="dxa"/>
            <w:vAlign w:val="bottom"/>
          </w:tcPr>
          <w:p>
            <w:pPr>
              <w:spacing w:after="0"/>
              <w:rPr>
                <w:sz w:val="1"/>
                <w:szCs w:val="1"/>
                <w:color w:val="auto"/>
              </w:rPr>
            </w:pPr>
          </w:p>
        </w:tc>
      </w:tr>
      <w:tr>
        <w:trPr>
          <w:trHeight w:val="762"/>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220" w:type="dxa"/>
            <w:vAlign w:val="bottom"/>
          </w:tcPr>
          <w:p>
            <w:pPr>
              <w:ind w:left="40"/>
              <w:spacing w:after="0" w:line="119" w:lineRule="exact"/>
              <w:rPr>
                <w:sz w:val="20"/>
                <w:szCs w:val="20"/>
                <w:color w:val="auto"/>
              </w:rPr>
            </w:pPr>
            <w:r>
              <w:rPr>
                <w:rFonts w:ascii="Times New Roman" w:cs="Times New Roman" w:eastAsia="Times New Roman" w:hAnsi="Times New Roman"/>
                <w:sz w:val="13"/>
                <w:szCs w:val="13"/>
                <w:color w:val="343741"/>
              </w:rPr>
              <w:t>Inferences drawn from CCPA PI –</w:t>
            </w:r>
          </w:p>
        </w:tc>
        <w:tc>
          <w:tcPr>
            <w:tcW w:w="25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343741"/>
              </w:rPr>
              <w:t>•</w:t>
            </w:r>
            <w:r>
              <w:rPr>
                <w:rFonts w:ascii="Times New Roman" w:cs="Times New Roman" w:eastAsia="Times New Roman" w:hAnsi="Times New Roman"/>
                <w:sz w:val="11"/>
                <w:szCs w:val="11"/>
                <w:color w:val="343741"/>
              </w:rPr>
              <w:t>Directly from you;</w:t>
            </w:r>
          </w:p>
        </w:tc>
        <w:tc>
          <w:tcPr>
            <w:tcW w:w="2560" w:type="dxa"/>
            <w:vAlign w:val="bottom"/>
          </w:tcPr>
          <w:p>
            <w:pPr>
              <w:spacing w:after="0" w:line="119" w:lineRule="exact"/>
              <w:rPr>
                <w:sz w:val="20"/>
                <w:szCs w:val="20"/>
                <w:color w:val="auto"/>
              </w:rPr>
            </w:pPr>
            <w:r>
              <w:rPr>
                <w:rFonts w:ascii="Times New Roman" w:cs="Times New Roman" w:eastAsia="Times New Roman" w:hAnsi="Times New Roman"/>
                <w:sz w:val="13"/>
                <w:szCs w:val="13"/>
                <w:color w:val="343741"/>
              </w:rPr>
              <w:t>•To provide you services;</w:t>
            </w:r>
          </w:p>
        </w:tc>
        <w:tc>
          <w:tcPr>
            <w:tcW w:w="3540" w:type="dxa"/>
            <w:vAlign w:val="bottom"/>
          </w:tcPr>
          <w:p>
            <w:pPr>
              <w:ind w:left="100"/>
              <w:spacing w:after="0" w:line="119" w:lineRule="exact"/>
              <w:rPr>
                <w:sz w:val="20"/>
                <w:szCs w:val="20"/>
                <w:color w:val="auto"/>
              </w:rPr>
            </w:pPr>
            <w:r>
              <w:rPr>
                <w:rFonts w:ascii="Times New Roman" w:cs="Times New Roman" w:eastAsia="Times New Roman" w:hAnsi="Times New Roman"/>
                <w:sz w:val="13"/>
                <w:szCs w:val="13"/>
                <w:color w:val="343741"/>
              </w:rPr>
              <w:t>•</w:t>
            </w:r>
            <w:r>
              <w:rPr>
                <w:rFonts w:ascii="Times New Roman" w:cs="Times New Roman" w:eastAsia="Times New Roman" w:hAnsi="Times New Roman"/>
                <w:sz w:val="11"/>
                <w:szCs w:val="11"/>
                <w:color w:val="343741"/>
              </w:rPr>
              <w:t>Group companies, for business, marketing and operational</w:t>
            </w:r>
          </w:p>
        </w:tc>
        <w:tc>
          <w:tcPr>
            <w:tcW w:w="0" w:type="dxa"/>
            <w:vAlign w:val="bottom"/>
          </w:tcPr>
          <w:p>
            <w:pPr>
              <w:spacing w:after="0"/>
              <w:rPr>
                <w:sz w:val="1"/>
                <w:szCs w:val="1"/>
                <w:color w:val="auto"/>
              </w:rPr>
            </w:pPr>
          </w:p>
        </w:tc>
      </w:tr>
      <w:tr>
        <w:trPr>
          <w:trHeight w:val="189"/>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343741"/>
              </w:rPr>
              <w:t>such as individual profiles,</w:t>
            </w:r>
          </w:p>
        </w:tc>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Automatically when you use our website or</w:t>
            </w:r>
          </w:p>
        </w:tc>
        <w:tc>
          <w:tcPr>
            <w:tcW w:w="2560" w:type="dxa"/>
            <w:vAlign w:val="bottom"/>
          </w:tcPr>
          <w:p>
            <w:pPr>
              <w:spacing w:after="0"/>
              <w:rPr>
                <w:sz w:val="20"/>
                <w:szCs w:val="20"/>
                <w:color w:val="auto"/>
              </w:rPr>
            </w:pPr>
            <w:r>
              <w:rPr>
                <w:rFonts w:ascii="Times New Roman" w:cs="Times New Roman" w:eastAsia="Times New Roman" w:hAnsi="Times New Roman"/>
                <w:sz w:val="14"/>
                <w:szCs w:val="14"/>
                <w:color w:val="343741"/>
              </w:rPr>
              <w:t>• To contact you to discuss the services or</w:t>
            </w:r>
          </w:p>
        </w:tc>
        <w:tc>
          <w:tcPr>
            <w:tcW w:w="3540" w:type="dxa"/>
            <w:vAlign w:val="bottom"/>
          </w:tcPr>
          <w:p>
            <w:pPr>
              <w:ind w:left="140"/>
              <w:spacing w:after="0"/>
              <w:rPr>
                <w:sz w:val="20"/>
                <w:szCs w:val="20"/>
                <w:color w:val="auto"/>
              </w:rPr>
            </w:pPr>
            <w:r>
              <w:rPr>
                <w:rFonts w:ascii="Times New Roman" w:cs="Times New Roman" w:eastAsia="Times New Roman" w:hAnsi="Times New Roman"/>
                <w:sz w:val="14"/>
                <w:szCs w:val="14"/>
                <w:color w:val="343741"/>
              </w:rPr>
              <w:t>purposes</w:t>
            </w:r>
          </w:p>
        </w:tc>
        <w:tc>
          <w:tcPr>
            <w:tcW w:w="0" w:type="dxa"/>
            <w:vAlign w:val="bottom"/>
          </w:tcPr>
          <w:p>
            <w:pPr>
              <w:spacing w:after="0"/>
              <w:rPr>
                <w:sz w:val="1"/>
                <w:szCs w:val="1"/>
                <w:color w:val="auto"/>
              </w:rPr>
            </w:pPr>
          </w:p>
        </w:tc>
      </w:tr>
      <w:tr>
        <w:trPr>
          <w:trHeight w:val="148"/>
        </w:trPr>
        <w:tc>
          <w:tcPr>
            <w:tcW w:w="22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343741"/>
              </w:rPr>
              <w:t>preferences, characteristics,</w:t>
            </w:r>
          </w:p>
        </w:tc>
        <w:tc>
          <w:tcPr>
            <w:tcW w:w="2580" w:type="dxa"/>
            <w:vAlign w:val="bottom"/>
            <w:vMerge w:val="continue"/>
          </w:tcPr>
          <w:p>
            <w:pPr>
              <w:spacing w:after="0"/>
              <w:rPr>
                <w:sz w:val="12"/>
                <w:szCs w:val="12"/>
                <w:color w:val="auto"/>
              </w:rPr>
            </w:pPr>
          </w:p>
        </w:tc>
        <w:tc>
          <w:tcPr>
            <w:tcW w:w="25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343741"/>
              </w:rPr>
              <w:t>products you receive from us;</w:t>
            </w: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343741"/>
              </w:rPr>
              <w:t>behaviors or other similar identifiers</w:t>
            </w:r>
          </w:p>
        </w:tc>
        <w:tc>
          <w:tcPr>
            <w:tcW w:w="2580" w:type="dxa"/>
            <w:vAlign w:val="bottom"/>
          </w:tcPr>
          <w:p>
            <w:pPr>
              <w:ind w:left="40"/>
              <w:spacing w:after="0"/>
              <w:rPr>
                <w:sz w:val="20"/>
                <w:szCs w:val="20"/>
                <w:color w:val="auto"/>
              </w:rPr>
            </w:pPr>
            <w:r>
              <w:rPr>
                <w:rFonts w:ascii="Times New Roman" w:cs="Times New Roman" w:eastAsia="Times New Roman" w:hAnsi="Times New Roman"/>
                <w:sz w:val="14"/>
                <w:szCs w:val="14"/>
                <w:color w:val="343741"/>
              </w:rPr>
              <w:t>services; and</w:t>
            </w:r>
          </w:p>
        </w:tc>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343741"/>
              </w:rPr>
              <w:t>• To respond to any questions or concerns</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2220" w:type="dxa"/>
            <w:vAlign w:val="bottom"/>
          </w:tcPr>
          <w:p>
            <w:pPr>
              <w:spacing w:after="0"/>
              <w:rPr>
                <w:sz w:val="5"/>
                <w:szCs w:val="5"/>
                <w:color w:val="auto"/>
              </w:rPr>
            </w:pPr>
          </w:p>
        </w:tc>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From third parties; including business</w:t>
            </w:r>
          </w:p>
        </w:tc>
        <w:tc>
          <w:tcPr>
            <w:tcW w:w="2560" w:type="dxa"/>
            <w:vAlign w:val="bottom"/>
            <w:vMerge w:val="continue"/>
          </w:tcPr>
          <w:p>
            <w:pPr>
              <w:spacing w:after="0"/>
              <w:rPr>
                <w:sz w:val="5"/>
                <w:szCs w:val="5"/>
                <w:color w:val="auto"/>
              </w:rPr>
            </w:pPr>
          </w:p>
        </w:tc>
        <w:tc>
          <w:tcPr>
            <w:tcW w:w="3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2580" w:type="dxa"/>
            <w:vAlign w:val="bottom"/>
            <w:vMerge w:val="continue"/>
          </w:tcPr>
          <w:p>
            <w:pPr>
              <w:spacing w:after="0"/>
              <w:rPr>
                <w:sz w:val="12"/>
                <w:szCs w:val="12"/>
                <w:color w:val="auto"/>
              </w:rPr>
            </w:pPr>
          </w:p>
        </w:tc>
        <w:tc>
          <w:tcPr>
            <w:tcW w:w="25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343741"/>
              </w:rPr>
              <w:t>you have raised;</w:t>
            </w: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2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4"/>
                <w:szCs w:val="14"/>
                <w:color w:val="343741"/>
              </w:rPr>
              <w:t>partners or firms acting on your behalf</w:t>
            </w:r>
          </w:p>
        </w:tc>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343741"/>
              </w:rPr>
              <w:t>• To deal with administrative matters;</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2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2560" w:type="dxa"/>
            <w:vAlign w:val="bottom"/>
            <w:vMerge w:val="continue"/>
          </w:tcPr>
          <w:p>
            <w:pPr>
              <w:spacing w:after="0"/>
              <w:rPr>
                <w:sz w:val="7"/>
                <w:szCs w:val="7"/>
                <w:color w:val="auto"/>
              </w:rPr>
            </w:pPr>
          </w:p>
        </w:tc>
        <w:tc>
          <w:tcPr>
            <w:tcW w:w="35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-749300</wp:posOffset>
            </wp:positionV>
            <wp:extent cx="8890" cy="48882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488823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-749300</wp:posOffset>
            </wp:positionV>
            <wp:extent cx="8890" cy="48882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488823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-2170430</wp:posOffset>
            </wp:positionV>
            <wp:extent cx="8890" cy="63093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630936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-2170430</wp:posOffset>
            </wp:positionV>
            <wp:extent cx="8255" cy="63093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630936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-2170430</wp:posOffset>
            </wp:positionV>
            <wp:extent cx="8890" cy="63093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6309360"/>
                    </a:xfrm>
                    <a:prstGeom prst="rect">
                      <a:avLst/>
                    </a:prstGeom>
                    <a:noFill/>
                  </pic:spPr>
                </pic:pic>
              </a:graphicData>
            </a:graphic>
          </wp:anchor>
        </w:drawing>
      </w:r>
    </w:p>
    <w:p>
      <w:pPr>
        <w:spacing w:after="0" w:line="21" w:lineRule="exact"/>
        <w:rPr>
          <w:sz w:val="20"/>
          <w:szCs w:val="20"/>
          <w:color w:val="auto"/>
        </w:rPr>
      </w:pPr>
    </w:p>
    <w:p>
      <w:pPr>
        <w:ind w:left="5020" w:right="3660" w:hanging="30"/>
        <w:spacing w:after="0" w:line="261" w:lineRule="auto"/>
        <w:tabs>
          <w:tab w:leader="none" w:pos="5056" w:val="left"/>
        </w:tabs>
        <w:numPr>
          <w:ilvl w:val="0"/>
          <w:numId w:val="42"/>
        </w:numPr>
        <w:rPr>
          <w:rFonts w:ascii="Times New Roman" w:cs="Times New Roman" w:eastAsia="Times New Roman" w:hAnsi="Times New Roman"/>
          <w:sz w:val="14"/>
          <w:szCs w:val="14"/>
          <w:color w:val="343741"/>
        </w:rPr>
      </w:pPr>
      <w:r>
        <w:rPr>
          <w:rFonts w:ascii="Times New Roman" w:cs="Times New Roman" w:eastAsia="Times New Roman" w:hAnsi="Times New Roman"/>
          <w:sz w:val="14"/>
          <w:szCs w:val="14"/>
          <w:color w:val="343741"/>
        </w:rPr>
        <w:t>To perform services on your behalf, such as booking travel arrangements;</w:t>
      </w:r>
    </w:p>
    <w:p>
      <w:pPr>
        <w:spacing w:after="0" w:line="41" w:lineRule="exact"/>
        <w:rPr>
          <w:rFonts w:ascii="Times New Roman" w:cs="Times New Roman" w:eastAsia="Times New Roman" w:hAnsi="Times New Roman"/>
          <w:sz w:val="14"/>
          <w:szCs w:val="14"/>
          <w:color w:val="343741"/>
        </w:rPr>
      </w:pPr>
    </w:p>
    <w:p>
      <w:pPr>
        <w:ind w:left="5020" w:right="3800" w:hanging="30"/>
        <w:spacing w:after="0" w:line="241" w:lineRule="auto"/>
        <w:tabs>
          <w:tab w:leader="none" w:pos="5056" w:val="left"/>
        </w:tabs>
        <w:numPr>
          <w:ilvl w:val="0"/>
          <w:numId w:val="42"/>
        </w:numPr>
        <w:rPr>
          <w:rFonts w:ascii="Times New Roman" w:cs="Times New Roman" w:eastAsia="Times New Roman" w:hAnsi="Times New Roman"/>
          <w:sz w:val="14"/>
          <w:szCs w:val="14"/>
          <w:color w:val="343741"/>
        </w:rPr>
      </w:pPr>
      <w:r>
        <w:rPr>
          <w:rFonts w:ascii="Times New Roman" w:cs="Times New Roman" w:eastAsia="Times New Roman" w:hAnsi="Times New Roman"/>
          <w:sz w:val="14"/>
          <w:szCs w:val="14"/>
          <w:color w:val="343741"/>
        </w:rPr>
        <w:t>To otherwise carry out our obligations arising under our contract with you and to enforce the same;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660" w:type="dxa"/>
            <w:vAlign w:val="bottom"/>
          </w:tcPr>
          <w:p>
            <w:pPr>
              <w:ind w:left="100"/>
              <w:spacing w:after="0"/>
              <w:rPr>
                <w:sz w:val="20"/>
                <w:szCs w:val="20"/>
                <w:color w:val="auto"/>
              </w:rPr>
            </w:pPr>
            <w:r>
              <w:rPr>
                <w:rFonts w:ascii="Times New Roman" w:cs="Times New Roman" w:eastAsia="Times New Roman" w:hAnsi="Times New Roman"/>
                <w:sz w:val="14"/>
                <w:szCs w:val="14"/>
                <w:color w:val="343741"/>
              </w:rPr>
              <w:t>•For marketing and advertising purposes;</w:t>
            </w:r>
          </w:p>
        </w:tc>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660" w:type="dxa"/>
            <w:vAlign w:val="bottom"/>
          </w:tcPr>
          <w:p>
            <w:pPr>
              <w:ind w:left="160"/>
              <w:spacing w:after="0"/>
              <w:rPr>
                <w:sz w:val="20"/>
                <w:szCs w:val="20"/>
                <w:color w:val="auto"/>
              </w:rPr>
            </w:pPr>
            <w:r>
              <w:rPr>
                <w:rFonts w:ascii="Times New Roman" w:cs="Times New Roman" w:eastAsia="Times New Roman" w:hAnsi="Times New Roman"/>
                <w:sz w:val="14"/>
                <w:szCs w:val="14"/>
                <w:color w:val="343741"/>
              </w:rPr>
              <w:t>and</w:t>
            </w:r>
          </w:p>
        </w:tc>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660" w:type="dxa"/>
            <w:vAlign w:val="bottom"/>
          </w:tcPr>
          <w:p>
            <w:pPr>
              <w:ind w:left="100"/>
              <w:spacing w:after="0"/>
              <w:rPr>
                <w:sz w:val="20"/>
                <w:szCs w:val="20"/>
                <w:color w:val="auto"/>
              </w:rPr>
            </w:pPr>
            <w:r>
              <w:rPr>
                <w:rFonts w:ascii="Times New Roman" w:cs="Times New Roman" w:eastAsia="Times New Roman" w:hAnsi="Times New Roman"/>
                <w:sz w:val="14"/>
                <w:szCs w:val="14"/>
                <w:color w:val="343741"/>
              </w:rPr>
              <w:t>•For internal research, analytics and</w:t>
            </w:r>
          </w:p>
        </w:tc>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660" w:type="dxa"/>
            <w:vAlign w:val="bottom"/>
          </w:tcPr>
          <w:p>
            <w:pPr>
              <w:ind w:left="160"/>
              <w:spacing w:after="0"/>
              <w:rPr>
                <w:sz w:val="20"/>
                <w:szCs w:val="20"/>
                <w:color w:val="auto"/>
              </w:rPr>
            </w:pPr>
            <w:r>
              <w:rPr>
                <w:rFonts w:ascii="Times New Roman" w:cs="Times New Roman" w:eastAsia="Times New Roman" w:hAnsi="Times New Roman"/>
                <w:sz w:val="14"/>
                <w:szCs w:val="14"/>
                <w:color w:val="343741"/>
              </w:rPr>
              <w:t>development</w:t>
            </w:r>
          </w:p>
        </w:tc>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80" w:type="dxa"/>
            <w:vAlign w:val="bottom"/>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5220" w:type="dxa"/>
            <w:vAlign w:val="bottom"/>
            <w:tcBorders>
              <w:bottom w:val="single" w:sz="8" w:color="auto"/>
            </w:tcBorders>
            <w:gridSpan w:val="2"/>
          </w:tcPr>
          <w:p>
            <w:pPr>
              <w:spacing w:after="0"/>
              <w:rPr>
                <w:sz w:val="11"/>
                <w:szCs w:val="11"/>
                <w:color w:val="auto"/>
              </w:rPr>
            </w:pPr>
          </w:p>
        </w:tc>
        <w:tc>
          <w:tcPr>
            <w:tcW w:w="3540" w:type="dxa"/>
            <w:vAlign w:val="bottom"/>
            <w:tcBorders>
              <w:bottom w:val="single" w:sz="8" w:color="auto"/>
            </w:tcBorders>
          </w:tcPr>
          <w:p>
            <w:pPr>
              <w:spacing w:after="0"/>
              <w:rPr>
                <w:sz w:val="11"/>
                <w:szCs w:val="11"/>
                <w:color w:val="auto"/>
              </w:rPr>
            </w:pPr>
          </w:p>
        </w:tc>
        <w:tc>
          <w:tcPr>
            <w:tcW w:w="1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2140" w:type="dxa"/>
            <w:vAlign w:val="bottom"/>
          </w:tcPr>
          <w:p>
            <w:pPr>
              <w:ind w:left="40"/>
              <w:spacing w:after="0" w:line="155" w:lineRule="exact"/>
              <w:rPr>
                <w:sz w:val="20"/>
                <w:szCs w:val="20"/>
                <w:color w:val="auto"/>
              </w:rPr>
            </w:pPr>
            <w:r>
              <w:rPr>
                <w:rFonts w:ascii="Times New Roman" w:cs="Times New Roman" w:eastAsia="Times New Roman" w:hAnsi="Times New Roman"/>
                <w:sz w:val="14"/>
                <w:szCs w:val="14"/>
                <w:color w:val="343741"/>
              </w:rPr>
              <w:t>Audio or video footage collected</w:t>
            </w:r>
          </w:p>
        </w:tc>
        <w:tc>
          <w:tcPr>
            <w:tcW w:w="522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8"/>
                <w:szCs w:val="18"/>
                <w:color w:val="343741"/>
                <w:vertAlign w:val="subscript"/>
              </w:rPr>
              <w:t>•</w:t>
            </w:r>
            <w:r>
              <w:rPr>
                <w:rFonts w:ascii="Times New Roman" w:cs="Times New Roman" w:eastAsia="Times New Roman" w:hAnsi="Times New Roman"/>
                <w:sz w:val="15"/>
                <w:szCs w:val="15"/>
                <w:color w:val="343741"/>
                <w:vertAlign w:val="subscript"/>
              </w:rPr>
              <w:t>From the use of our CCTV cameras. Where</w:t>
            </w:r>
            <w:r>
              <w:rPr>
                <w:rFonts w:ascii="Times New Roman" w:cs="Times New Roman" w:eastAsia="Times New Roman" w:hAnsi="Times New Roman"/>
                <w:sz w:val="10"/>
                <w:szCs w:val="10"/>
                <w:color w:val="343741"/>
              </w:rPr>
              <w:t xml:space="preserve"> •To monitor safety, fraud, employee theft,</w:t>
            </w:r>
          </w:p>
        </w:tc>
        <w:tc>
          <w:tcPr>
            <w:tcW w:w="354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Group companies, for business and operational purposes;</w:t>
            </w: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21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343741"/>
              </w:rPr>
              <w:t>using CCTV cameras (only if you</w:t>
            </w:r>
          </w:p>
        </w:tc>
        <w:tc>
          <w:tcPr>
            <w:tcW w:w="2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343741"/>
              </w:rPr>
              <w:t>we have cameras on our premises, your</w:t>
            </w:r>
          </w:p>
        </w:tc>
        <w:tc>
          <w:tcPr>
            <w:tcW w:w="26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343741"/>
              </w:rPr>
              <w:t>and crime prevention</w:t>
            </w:r>
          </w:p>
        </w:tc>
        <w:tc>
          <w:tcPr>
            <w:tcW w:w="37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343741"/>
              </w:rPr>
              <w:t>and</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21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343741"/>
              </w:rPr>
              <w:t>visit one of our premises that uses</w:t>
            </w:r>
          </w:p>
        </w:tc>
        <w:tc>
          <w:tcPr>
            <w:tcW w:w="2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343741"/>
              </w:rPr>
              <w:t>image and movements may be recorded.</w:t>
            </w:r>
          </w:p>
        </w:tc>
        <w:tc>
          <w:tcPr>
            <w:tcW w:w="2660" w:type="dxa"/>
            <w:vAlign w:val="bottom"/>
          </w:tcPr>
          <w:p>
            <w:pPr>
              <w:spacing w:after="0"/>
              <w:rPr>
                <w:sz w:val="12"/>
                <w:szCs w:val="12"/>
                <w:color w:val="auto"/>
              </w:rPr>
            </w:pPr>
          </w:p>
        </w:tc>
        <w:tc>
          <w:tcPr>
            <w:tcW w:w="3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Government authorities or other entities with legal</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14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343741"/>
              </w:rPr>
              <w:t>this technology)</w:t>
            </w:r>
          </w:p>
        </w:tc>
        <w:tc>
          <w:tcPr>
            <w:tcW w:w="25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3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343741"/>
              </w:rPr>
              <w:t>authority to request and for us to provide the information</w:t>
            </w:r>
          </w:p>
        </w:tc>
        <w:tc>
          <w:tcPr>
            <w:tcW w:w="0" w:type="dxa"/>
            <w:vAlign w:val="bottom"/>
          </w:tcPr>
          <w:p>
            <w:pPr>
              <w:spacing w:after="0"/>
              <w:rPr>
                <w:sz w:val="1"/>
                <w:szCs w:val="1"/>
                <w:color w:val="auto"/>
              </w:rPr>
            </w:pPr>
          </w:p>
        </w:tc>
      </w:tr>
      <w:tr>
        <w:trPr>
          <w:trHeight w:val="644"/>
        </w:trPr>
        <w:tc>
          <w:tcPr>
            <w:tcW w:w="180" w:type="dxa"/>
            <w:vAlign w:val="bottom"/>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1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21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343741"/>
              </w:rPr>
              <w:t>Biometric information</w:t>
            </w:r>
          </w:p>
        </w:tc>
        <w:tc>
          <w:tcPr>
            <w:tcW w:w="2560" w:type="dxa"/>
            <w:vAlign w:val="bottom"/>
          </w:tcPr>
          <w:p>
            <w:pPr>
              <w:ind w:left="80"/>
              <w:spacing w:after="0" w:line="156"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Directly from you</w:t>
            </w:r>
          </w:p>
        </w:tc>
        <w:tc>
          <w:tcPr>
            <w:tcW w:w="2660" w:type="dxa"/>
            <w:vAlign w:val="bottom"/>
          </w:tcPr>
          <w:p>
            <w:pPr>
              <w:ind w:left="100"/>
              <w:spacing w:after="0" w:line="155" w:lineRule="exact"/>
              <w:rPr>
                <w:sz w:val="20"/>
                <w:szCs w:val="20"/>
                <w:color w:val="auto"/>
              </w:rPr>
            </w:pPr>
            <w:r>
              <w:rPr>
                <w:rFonts w:ascii="Times New Roman" w:cs="Times New Roman" w:eastAsia="Times New Roman" w:hAnsi="Times New Roman"/>
                <w:sz w:val="14"/>
                <w:szCs w:val="14"/>
                <w:color w:val="343741"/>
              </w:rPr>
              <w:t>•To carry out required compliance checks</w:t>
            </w:r>
          </w:p>
        </w:tc>
        <w:tc>
          <w:tcPr>
            <w:tcW w:w="354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Group companies, for business and operational purposes;</w:t>
            </w: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343741"/>
              </w:rPr>
              <w:t>NOTE: Biometric information is</w:t>
            </w:r>
          </w:p>
        </w:tc>
        <w:tc>
          <w:tcPr>
            <w:tcW w:w="2560" w:type="dxa"/>
            <w:vAlign w:val="bottom"/>
          </w:tcPr>
          <w:p>
            <w:pPr>
              <w:spacing w:after="0"/>
              <w:rPr>
                <w:sz w:val="16"/>
                <w:szCs w:val="16"/>
                <w:color w:val="auto"/>
              </w:rPr>
            </w:pPr>
          </w:p>
        </w:tc>
        <w:tc>
          <w:tcPr>
            <w:tcW w:w="2660" w:type="dxa"/>
            <w:vAlign w:val="bottom"/>
          </w:tcPr>
          <w:p>
            <w:pPr>
              <w:ind w:left="140"/>
              <w:spacing w:after="0"/>
              <w:rPr>
                <w:sz w:val="20"/>
                <w:szCs w:val="20"/>
                <w:color w:val="auto"/>
              </w:rPr>
            </w:pPr>
            <w:r>
              <w:rPr>
                <w:rFonts w:ascii="Times New Roman" w:cs="Times New Roman" w:eastAsia="Times New Roman" w:hAnsi="Times New Roman"/>
                <w:sz w:val="14"/>
                <w:szCs w:val="14"/>
                <w:color w:val="343741"/>
              </w:rPr>
              <w:t>and controls; and</w:t>
            </w:r>
          </w:p>
        </w:tc>
        <w:tc>
          <w:tcPr>
            <w:tcW w:w="37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343741"/>
              </w:rPr>
              <w:t>and</w:t>
            </w:r>
          </w:p>
        </w:tc>
        <w:tc>
          <w:tcPr>
            <w:tcW w:w="0" w:type="dxa"/>
            <w:vAlign w:val="bottom"/>
          </w:tcPr>
          <w:p>
            <w:pPr>
              <w:spacing w:after="0"/>
              <w:rPr>
                <w:sz w:val="1"/>
                <w:szCs w:val="1"/>
                <w:color w:val="auto"/>
              </w:rPr>
            </w:pPr>
          </w:p>
        </w:tc>
      </w:tr>
      <w:tr>
        <w:trPr>
          <w:trHeight w:val="66"/>
        </w:trPr>
        <w:tc>
          <w:tcPr>
            <w:tcW w:w="180" w:type="dxa"/>
            <w:vAlign w:val="bottom"/>
          </w:tcPr>
          <w:p>
            <w:pPr>
              <w:spacing w:after="0"/>
              <w:rPr>
                <w:sz w:val="5"/>
                <w:szCs w:val="5"/>
                <w:color w:val="auto"/>
              </w:rPr>
            </w:pPr>
          </w:p>
        </w:tc>
        <w:tc>
          <w:tcPr>
            <w:tcW w:w="2140" w:type="dxa"/>
            <w:vAlign w:val="bottom"/>
            <w:vMerge w:val="continue"/>
          </w:tcPr>
          <w:p>
            <w:pPr>
              <w:spacing w:after="0"/>
              <w:rPr>
                <w:sz w:val="5"/>
                <w:szCs w:val="5"/>
                <w:color w:val="auto"/>
              </w:rPr>
            </w:pPr>
          </w:p>
        </w:tc>
        <w:tc>
          <w:tcPr>
            <w:tcW w:w="2560" w:type="dxa"/>
            <w:vAlign w:val="bottom"/>
          </w:tcPr>
          <w:p>
            <w:pPr>
              <w:spacing w:after="0"/>
              <w:rPr>
                <w:sz w:val="5"/>
                <w:szCs w:val="5"/>
                <w:color w:val="auto"/>
              </w:rPr>
            </w:pPr>
          </w:p>
        </w:tc>
        <w:tc>
          <w:tcPr>
            <w:tcW w:w="2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343741"/>
              </w:rPr>
              <w:t>•To verify your identity or for other fraud</w:t>
            </w:r>
          </w:p>
        </w:tc>
        <w:tc>
          <w:tcPr>
            <w:tcW w:w="3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Government authorities or other entities with legal</w:t>
            </w: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21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i w:val="1"/>
                <w:iCs w:val="1"/>
                <w:color w:val="343741"/>
              </w:rPr>
              <w:t>considered an element of Sensitive</w:t>
            </w:r>
          </w:p>
        </w:tc>
        <w:tc>
          <w:tcPr>
            <w:tcW w:w="2560" w:type="dxa"/>
            <w:vAlign w:val="bottom"/>
          </w:tcPr>
          <w:p>
            <w:pPr>
              <w:spacing w:after="0"/>
              <w:rPr>
                <w:sz w:val="13"/>
                <w:szCs w:val="13"/>
                <w:color w:val="auto"/>
              </w:rPr>
            </w:pPr>
          </w:p>
        </w:tc>
        <w:tc>
          <w:tcPr>
            <w:tcW w:w="2660" w:type="dxa"/>
            <w:vAlign w:val="bottom"/>
            <w:vMerge w:val="continue"/>
          </w:tcPr>
          <w:p>
            <w:pPr>
              <w:spacing w:after="0"/>
              <w:rPr>
                <w:sz w:val="13"/>
                <w:szCs w:val="13"/>
                <w:color w:val="auto"/>
              </w:rPr>
            </w:pPr>
          </w:p>
        </w:tc>
        <w:tc>
          <w:tcPr>
            <w:tcW w:w="3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343741"/>
              </w:rPr>
              <w:t>Personal Information.</w:t>
            </w:r>
          </w:p>
        </w:tc>
        <w:tc>
          <w:tcPr>
            <w:tcW w:w="2560" w:type="dxa"/>
            <w:vAlign w:val="bottom"/>
          </w:tcPr>
          <w:p>
            <w:pPr>
              <w:spacing w:after="0"/>
              <w:rPr>
                <w:sz w:val="12"/>
                <w:szCs w:val="12"/>
                <w:color w:val="auto"/>
              </w:rPr>
            </w:pPr>
          </w:p>
        </w:tc>
        <w:tc>
          <w:tcPr>
            <w:tcW w:w="26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343741"/>
              </w:rPr>
              <w:t>and/or crime prevention; and</w:t>
            </w:r>
          </w:p>
        </w:tc>
        <w:tc>
          <w:tcPr>
            <w:tcW w:w="3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343741"/>
              </w:rPr>
              <w:t>authority to request and for us to provide the information</w:t>
            </w:r>
          </w:p>
        </w:tc>
        <w:tc>
          <w:tcPr>
            <w:tcW w:w="0" w:type="dxa"/>
            <w:vAlign w:val="bottom"/>
          </w:tcPr>
          <w:p>
            <w:pPr>
              <w:spacing w:after="0"/>
              <w:rPr>
                <w:sz w:val="1"/>
                <w:szCs w:val="1"/>
                <w:color w:val="auto"/>
              </w:rPr>
            </w:pPr>
          </w:p>
        </w:tc>
      </w:tr>
      <w:tr>
        <w:trPr>
          <w:trHeight w:val="44"/>
        </w:trPr>
        <w:tc>
          <w:tcPr>
            <w:tcW w:w="18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2560" w:type="dxa"/>
            <w:vAlign w:val="bottom"/>
          </w:tcPr>
          <w:p>
            <w:pPr>
              <w:spacing w:after="0"/>
              <w:rPr>
                <w:sz w:val="3"/>
                <w:szCs w:val="3"/>
                <w:color w:val="auto"/>
              </w:rPr>
            </w:pPr>
          </w:p>
        </w:tc>
        <w:tc>
          <w:tcPr>
            <w:tcW w:w="2660" w:type="dxa"/>
            <w:vAlign w:val="bottom"/>
          </w:tcPr>
          <w:p>
            <w:pPr>
              <w:spacing w:after="0"/>
              <w:rPr>
                <w:sz w:val="3"/>
                <w:szCs w:val="3"/>
                <w:color w:val="auto"/>
              </w:rPr>
            </w:pPr>
          </w:p>
        </w:tc>
        <w:tc>
          <w:tcPr>
            <w:tcW w:w="37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Service providers in connection with background checks</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343741"/>
              </w:rPr>
              <w:t>and/or fingerprinting</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Service providers in connection with face and voice</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7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343741"/>
              </w:rPr>
              <w:t>recognition</w:t>
            </w:r>
          </w:p>
        </w:tc>
        <w:tc>
          <w:tcPr>
            <w:tcW w:w="0" w:type="dxa"/>
            <w:vAlign w:val="bottom"/>
          </w:tcPr>
          <w:p>
            <w:pPr>
              <w:spacing w:after="0"/>
              <w:rPr>
                <w:sz w:val="1"/>
                <w:szCs w:val="1"/>
                <w:color w:val="auto"/>
              </w:rPr>
            </w:pPr>
          </w:p>
        </w:tc>
      </w:tr>
      <w:tr>
        <w:trPr>
          <w:trHeight w:val="77"/>
        </w:trPr>
        <w:tc>
          <w:tcPr>
            <w:tcW w:w="180" w:type="dxa"/>
            <w:vAlign w:val="bottom"/>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2660" w:type="dxa"/>
            <w:vAlign w:val="bottom"/>
            <w:tcBorders>
              <w:bottom w:val="single" w:sz="8" w:color="auto"/>
            </w:tcBorders>
          </w:tcPr>
          <w:p>
            <w:pPr>
              <w:spacing w:after="0"/>
              <w:rPr>
                <w:sz w:val="6"/>
                <w:szCs w:val="6"/>
                <w:color w:val="auto"/>
              </w:rPr>
            </w:pPr>
          </w:p>
        </w:tc>
        <w:tc>
          <w:tcPr>
            <w:tcW w:w="3540" w:type="dxa"/>
            <w:vAlign w:val="bottom"/>
            <w:tcBorders>
              <w:bottom w:val="single" w:sz="8" w:color="auto"/>
            </w:tcBorders>
          </w:tcPr>
          <w:p>
            <w:pPr>
              <w:spacing w:after="0"/>
              <w:rPr>
                <w:sz w:val="6"/>
                <w:szCs w:val="6"/>
                <w:color w:val="auto"/>
              </w:rPr>
            </w:pPr>
          </w:p>
        </w:tc>
        <w:tc>
          <w:tcPr>
            <w:tcW w:w="16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180" w:type="dxa"/>
            <w:vAlign w:val="bottom"/>
          </w:tcPr>
          <w:p>
            <w:pPr>
              <w:spacing w:after="0"/>
              <w:rPr>
                <w:sz w:val="17"/>
                <w:szCs w:val="17"/>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343741"/>
              </w:rPr>
              <w:t>Geolocation Information</w:t>
            </w:r>
          </w:p>
        </w:tc>
        <w:tc>
          <w:tcPr>
            <w:tcW w:w="2560" w:type="dxa"/>
            <w:vAlign w:val="bottom"/>
          </w:tcPr>
          <w:p>
            <w:pPr>
              <w:ind w:left="80"/>
              <w:spacing w:after="0" w:line="201"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Directly from you</w:t>
            </w:r>
          </w:p>
        </w:tc>
        <w:tc>
          <w:tcPr>
            <w:tcW w:w="2660" w:type="dxa"/>
            <w:vAlign w:val="bottom"/>
          </w:tcPr>
          <w:p>
            <w:pPr>
              <w:ind w:left="100"/>
              <w:spacing w:after="0"/>
              <w:rPr>
                <w:sz w:val="20"/>
                <w:szCs w:val="20"/>
                <w:color w:val="auto"/>
              </w:rPr>
            </w:pPr>
            <w:r>
              <w:rPr>
                <w:rFonts w:ascii="Times New Roman" w:cs="Times New Roman" w:eastAsia="Times New Roman" w:hAnsi="Times New Roman"/>
                <w:sz w:val="14"/>
                <w:szCs w:val="14"/>
                <w:color w:val="343741"/>
              </w:rPr>
              <w:t>•To provide you services;</w:t>
            </w:r>
          </w:p>
        </w:tc>
        <w:tc>
          <w:tcPr>
            <w:tcW w:w="354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343741"/>
              </w:rPr>
              <w:t>•</w:t>
            </w:r>
            <w:r>
              <w:rPr>
                <w:rFonts w:ascii="Times New Roman" w:cs="Times New Roman" w:eastAsia="Times New Roman" w:hAnsi="Times New Roman"/>
                <w:sz w:val="14"/>
                <w:szCs w:val="14"/>
                <w:color w:val="343741"/>
              </w:rPr>
              <w:t>Group companies, for business and operational purposes</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343741"/>
              </w:rPr>
              <w:t>NOTE: The information in this</w:t>
            </w:r>
          </w:p>
        </w:tc>
        <w:tc>
          <w:tcPr>
            <w:tcW w:w="2560" w:type="dxa"/>
            <w:vAlign w:val="bottom"/>
          </w:tcPr>
          <w:p>
            <w:pPr>
              <w:spacing w:after="0"/>
              <w:rPr>
                <w:sz w:val="12"/>
                <w:szCs w:val="12"/>
                <w:color w:val="auto"/>
              </w:rPr>
            </w:pPr>
          </w:p>
        </w:tc>
        <w:tc>
          <w:tcPr>
            <w:tcW w:w="26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343741"/>
              </w:rPr>
              <w:t>• To contact you to discuss the services or</w:t>
            </w:r>
          </w:p>
        </w:tc>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180" w:type="dxa"/>
            <w:vAlign w:val="bottom"/>
          </w:tcPr>
          <w:p>
            <w:pPr>
              <w:spacing w:after="0"/>
              <w:rPr>
                <w:sz w:val="5"/>
                <w:szCs w:val="5"/>
                <w:color w:val="auto"/>
              </w:rPr>
            </w:pPr>
          </w:p>
        </w:tc>
        <w:tc>
          <w:tcPr>
            <w:tcW w:w="2140" w:type="dxa"/>
            <w:vAlign w:val="bottom"/>
            <w:vMerge w:val="continue"/>
          </w:tcPr>
          <w:p>
            <w:pPr>
              <w:spacing w:after="0"/>
              <w:rPr>
                <w:sz w:val="5"/>
                <w:szCs w:val="5"/>
                <w:color w:val="auto"/>
              </w:rPr>
            </w:pPr>
          </w:p>
        </w:tc>
        <w:tc>
          <w:tcPr>
            <w:tcW w:w="2560" w:type="dxa"/>
            <w:vAlign w:val="bottom"/>
          </w:tcPr>
          <w:p>
            <w:pPr>
              <w:spacing w:after="0"/>
              <w:rPr>
                <w:sz w:val="5"/>
                <w:szCs w:val="5"/>
                <w:color w:val="auto"/>
              </w:rPr>
            </w:pPr>
          </w:p>
        </w:tc>
        <w:tc>
          <w:tcPr>
            <w:tcW w:w="26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343741"/>
              </w:rPr>
              <w:t>products you receive from us;</w:t>
            </w:r>
          </w:p>
        </w:tc>
        <w:tc>
          <w:tcPr>
            <w:tcW w:w="3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80" w:type="dxa"/>
            <w:vAlign w:val="bottom"/>
          </w:tcPr>
          <w:p>
            <w:pPr>
              <w:spacing w:after="0"/>
              <w:rPr>
                <w:sz w:val="10"/>
                <w:szCs w:val="10"/>
                <w:color w:val="auto"/>
              </w:rPr>
            </w:pPr>
          </w:p>
        </w:tc>
        <w:tc>
          <w:tcPr>
            <w:tcW w:w="2140" w:type="dxa"/>
            <w:vAlign w:val="bottom"/>
            <w:vMerge w:val="restart"/>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343741"/>
              </w:rPr>
              <w:t>category may include the following</w:t>
            </w:r>
          </w:p>
        </w:tc>
        <w:tc>
          <w:tcPr>
            <w:tcW w:w="256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3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180" w:type="dxa"/>
            <w:vAlign w:val="bottom"/>
          </w:tcPr>
          <w:p>
            <w:pPr>
              <w:spacing w:after="0"/>
              <w:rPr>
                <w:sz w:val="2"/>
                <w:szCs w:val="2"/>
                <w:color w:val="auto"/>
              </w:rPr>
            </w:pPr>
          </w:p>
        </w:tc>
        <w:tc>
          <w:tcPr>
            <w:tcW w:w="2140" w:type="dxa"/>
            <w:vAlign w:val="bottom"/>
            <w:vMerge w:val="continue"/>
          </w:tcPr>
          <w:p>
            <w:pPr>
              <w:spacing w:after="0"/>
              <w:rPr>
                <w:sz w:val="2"/>
                <w:szCs w:val="2"/>
                <w:color w:val="auto"/>
              </w:rPr>
            </w:pPr>
          </w:p>
        </w:tc>
        <w:tc>
          <w:tcPr>
            <w:tcW w:w="25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80" w:type="dxa"/>
            <w:vAlign w:val="bottom"/>
          </w:tcPr>
          <w:p>
            <w:pPr>
              <w:spacing w:after="0"/>
              <w:rPr>
                <w:sz w:val="15"/>
                <w:szCs w:val="15"/>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343741"/>
              </w:rPr>
              <w:t>elements of Sensitive Personal</w:t>
            </w:r>
          </w:p>
        </w:tc>
        <w:tc>
          <w:tcPr>
            <w:tcW w:w="2560" w:type="dxa"/>
            <w:vAlign w:val="bottom"/>
          </w:tcPr>
          <w:p>
            <w:pPr>
              <w:spacing w:after="0"/>
              <w:rPr>
                <w:sz w:val="15"/>
                <w:szCs w:val="15"/>
                <w:color w:val="auto"/>
              </w:rPr>
            </w:pPr>
          </w:p>
        </w:tc>
        <w:tc>
          <w:tcPr>
            <w:tcW w:w="2660" w:type="dxa"/>
            <w:vAlign w:val="bottom"/>
          </w:tcPr>
          <w:p>
            <w:pPr>
              <w:ind w:left="100"/>
              <w:spacing w:after="0"/>
              <w:rPr>
                <w:sz w:val="20"/>
                <w:szCs w:val="20"/>
                <w:color w:val="auto"/>
              </w:rPr>
            </w:pPr>
            <w:r>
              <w:rPr>
                <w:rFonts w:ascii="Times New Roman" w:cs="Times New Roman" w:eastAsia="Times New Roman" w:hAnsi="Times New Roman"/>
                <w:sz w:val="14"/>
                <w:szCs w:val="14"/>
                <w:color w:val="343741"/>
              </w:rPr>
              <w:t>• To respond to any questions or concerns</w:t>
            </w:r>
          </w:p>
        </w:tc>
        <w:tc>
          <w:tcPr>
            <w:tcW w:w="3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343741"/>
              </w:rPr>
              <w:t>Information: precise geolocation.</w:t>
            </w:r>
          </w:p>
        </w:tc>
        <w:tc>
          <w:tcPr>
            <w:tcW w:w="2560" w:type="dxa"/>
            <w:vAlign w:val="bottom"/>
          </w:tcPr>
          <w:p>
            <w:pPr>
              <w:spacing w:after="0"/>
              <w:rPr>
                <w:sz w:val="16"/>
                <w:szCs w:val="16"/>
                <w:color w:val="auto"/>
              </w:rPr>
            </w:pPr>
          </w:p>
        </w:tc>
        <w:tc>
          <w:tcPr>
            <w:tcW w:w="2660" w:type="dxa"/>
            <w:vAlign w:val="bottom"/>
          </w:tcPr>
          <w:p>
            <w:pPr>
              <w:ind w:left="140"/>
              <w:spacing w:after="0"/>
              <w:rPr>
                <w:sz w:val="20"/>
                <w:szCs w:val="20"/>
                <w:color w:val="auto"/>
              </w:rPr>
            </w:pPr>
            <w:r>
              <w:rPr>
                <w:rFonts w:ascii="Times New Roman" w:cs="Times New Roman" w:eastAsia="Times New Roman" w:hAnsi="Times New Roman"/>
                <w:sz w:val="14"/>
                <w:szCs w:val="14"/>
                <w:color w:val="343741"/>
              </w:rPr>
              <w:t>you have raised;</w:t>
            </w:r>
          </w:p>
        </w:tc>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660" w:type="dxa"/>
            <w:vAlign w:val="bottom"/>
          </w:tcPr>
          <w:p>
            <w:pPr>
              <w:ind w:left="100"/>
              <w:spacing w:after="0"/>
              <w:rPr>
                <w:sz w:val="20"/>
                <w:szCs w:val="20"/>
                <w:color w:val="auto"/>
              </w:rPr>
            </w:pPr>
            <w:r>
              <w:rPr>
                <w:rFonts w:ascii="Times New Roman" w:cs="Times New Roman" w:eastAsia="Times New Roman" w:hAnsi="Times New Roman"/>
                <w:sz w:val="14"/>
                <w:szCs w:val="14"/>
                <w:color w:val="343741"/>
              </w:rPr>
              <w:t>•To otherwise carry out our obligations</w:t>
            </w:r>
          </w:p>
        </w:tc>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6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343741"/>
              </w:rPr>
              <w:t>arising under our contract with you and to</w:t>
            </w:r>
          </w:p>
        </w:tc>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660" w:type="dxa"/>
            <w:vAlign w:val="bottom"/>
          </w:tcPr>
          <w:p>
            <w:pPr>
              <w:ind w:left="140"/>
              <w:spacing w:after="0"/>
              <w:rPr>
                <w:sz w:val="20"/>
                <w:szCs w:val="20"/>
                <w:color w:val="auto"/>
              </w:rPr>
            </w:pPr>
            <w:r>
              <w:rPr>
                <w:rFonts w:ascii="Times New Roman" w:cs="Times New Roman" w:eastAsia="Times New Roman" w:hAnsi="Times New Roman"/>
                <w:sz w:val="14"/>
                <w:szCs w:val="14"/>
                <w:color w:val="343741"/>
              </w:rPr>
              <w:t>enforce the same</w:t>
            </w:r>
          </w:p>
        </w:tc>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180" w:type="dxa"/>
            <w:vAlign w:val="bottom"/>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2660" w:type="dxa"/>
            <w:vAlign w:val="bottom"/>
            <w:tcBorders>
              <w:bottom w:val="single" w:sz="8" w:color="auto"/>
            </w:tcBorders>
          </w:tcPr>
          <w:p>
            <w:pPr>
              <w:spacing w:after="0"/>
              <w:rPr>
                <w:sz w:val="6"/>
                <w:szCs w:val="6"/>
                <w:color w:val="auto"/>
              </w:rPr>
            </w:pPr>
          </w:p>
        </w:tc>
        <w:tc>
          <w:tcPr>
            <w:tcW w:w="35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8"/>
        </w:trPr>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-8-</w:t>
            </w:r>
          </w:p>
        </w:tc>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6"/>
        </w:trPr>
        <w:tc>
          <w:tcPr>
            <w:tcW w:w="1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36" w:name="page37"/>
    <w:bookmarkEnd w:id="36"/>
    <w:p>
      <w:pPr>
        <w:ind w:left="380" w:hanging="378"/>
        <w:spacing w:after="0"/>
        <w:tabs>
          <w:tab w:leader="none" w:pos="380" w:val="left"/>
        </w:tabs>
        <w:numPr>
          <w:ilvl w:val="0"/>
          <w:numId w:val="43"/>
        </w:numPr>
        <w:rPr>
          <w:rFonts w:ascii="Times New Roman" w:cs="Times New Roman" w:eastAsia="Times New Roman" w:hAnsi="Times New Roman"/>
          <w:sz w:val="18"/>
          <w:szCs w:val="18"/>
          <w:b w:val="1"/>
          <w:bCs w:val="1"/>
          <w:color w:val="333333"/>
        </w:rPr>
      </w:pPr>
      <w:r>
        <w:rPr>
          <w:rFonts w:ascii="Times New Roman" w:cs="Times New Roman" w:eastAsia="Times New Roman" w:hAnsi="Times New Roman"/>
          <w:sz w:val="18"/>
          <w:szCs w:val="18"/>
          <w:b w:val="1"/>
          <w:bCs w:val="1"/>
          <w:color w:val="343741"/>
        </w:rPr>
        <w:t>Your Right to Request Disclosure of Information We Collect and Disclose about You</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43741"/>
        </w:rPr>
        <w:t>If you are a California resident, the CCPA grants you the right to request certain information about our practices with respect to personal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43741"/>
        </w:rPr>
        <w:t>In particular, you can request the following:</w:t>
      </w:r>
    </w:p>
    <w:p>
      <w:pPr>
        <w:spacing w:after="0" w:line="207" w:lineRule="exact"/>
        <w:rPr>
          <w:sz w:val="20"/>
          <w:szCs w:val="20"/>
          <w:color w:val="auto"/>
        </w:rPr>
      </w:pPr>
    </w:p>
    <w:p>
      <w:pPr>
        <w:ind w:left="380" w:hanging="378"/>
        <w:spacing w:after="0"/>
        <w:tabs>
          <w:tab w:leader="none" w:pos="380" w:val="left"/>
        </w:tabs>
        <w:numPr>
          <w:ilvl w:val="0"/>
          <w:numId w:val="4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43741"/>
        </w:rPr>
        <w:t>The categories of your personal information that we’ve collected.</w:t>
      </w:r>
    </w:p>
    <w:p>
      <w:pPr>
        <w:spacing w:after="0" w:line="27" w:lineRule="exact"/>
        <w:rPr>
          <w:rFonts w:ascii="Times New Roman" w:cs="Times New Roman" w:eastAsia="Times New Roman" w:hAnsi="Times New Roman"/>
          <w:sz w:val="18"/>
          <w:szCs w:val="18"/>
          <w:color w:val="333333"/>
        </w:rPr>
      </w:pPr>
    </w:p>
    <w:p>
      <w:pPr>
        <w:ind w:left="380" w:hanging="378"/>
        <w:spacing w:after="0"/>
        <w:tabs>
          <w:tab w:leader="none" w:pos="380" w:val="left"/>
        </w:tabs>
        <w:numPr>
          <w:ilvl w:val="0"/>
          <w:numId w:val="4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43741"/>
        </w:rPr>
        <w:t>The specific pieces of your personal information that we’ve collected.</w:t>
      </w:r>
    </w:p>
    <w:p>
      <w:pPr>
        <w:spacing w:after="0" w:line="9" w:lineRule="exact"/>
        <w:rPr>
          <w:rFonts w:ascii="Times New Roman" w:cs="Times New Roman" w:eastAsia="Times New Roman" w:hAnsi="Times New Roman"/>
          <w:sz w:val="18"/>
          <w:szCs w:val="18"/>
          <w:color w:val="333333"/>
        </w:rPr>
      </w:pPr>
    </w:p>
    <w:p>
      <w:pPr>
        <w:ind w:left="380" w:hanging="378"/>
        <w:spacing w:after="0"/>
        <w:tabs>
          <w:tab w:leader="none" w:pos="380" w:val="left"/>
        </w:tabs>
        <w:numPr>
          <w:ilvl w:val="0"/>
          <w:numId w:val="4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43741"/>
        </w:rPr>
        <w:t>The categories of sources from which we collected your personal information.</w:t>
      </w:r>
    </w:p>
    <w:p>
      <w:pPr>
        <w:spacing w:after="0" w:line="9" w:lineRule="exact"/>
        <w:rPr>
          <w:rFonts w:ascii="Times New Roman" w:cs="Times New Roman" w:eastAsia="Times New Roman" w:hAnsi="Times New Roman"/>
          <w:sz w:val="18"/>
          <w:szCs w:val="18"/>
          <w:color w:val="333333"/>
        </w:rPr>
      </w:pPr>
    </w:p>
    <w:p>
      <w:pPr>
        <w:ind w:left="380" w:hanging="378"/>
        <w:spacing w:after="0"/>
        <w:tabs>
          <w:tab w:leader="none" w:pos="380" w:val="left"/>
        </w:tabs>
        <w:numPr>
          <w:ilvl w:val="0"/>
          <w:numId w:val="4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43741"/>
        </w:rPr>
        <w:t>The categories of your personal information that we’ve sold or disclosed for a business purpose.</w:t>
      </w:r>
    </w:p>
    <w:p>
      <w:pPr>
        <w:spacing w:after="0" w:line="9" w:lineRule="exact"/>
        <w:rPr>
          <w:rFonts w:ascii="Times New Roman" w:cs="Times New Roman" w:eastAsia="Times New Roman" w:hAnsi="Times New Roman"/>
          <w:sz w:val="18"/>
          <w:szCs w:val="18"/>
          <w:color w:val="333333"/>
        </w:rPr>
      </w:pPr>
    </w:p>
    <w:p>
      <w:pPr>
        <w:ind w:left="380" w:hanging="378"/>
        <w:spacing w:after="0"/>
        <w:tabs>
          <w:tab w:leader="none" w:pos="380" w:val="left"/>
        </w:tabs>
        <w:numPr>
          <w:ilvl w:val="0"/>
          <w:numId w:val="4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43741"/>
        </w:rPr>
        <w:t>The business or commercial purposes for which we collected, sold or shared your personal information.</w:t>
      </w:r>
    </w:p>
    <w:p>
      <w:pPr>
        <w:spacing w:after="0" w:line="9" w:lineRule="exact"/>
        <w:rPr>
          <w:rFonts w:ascii="Times New Roman" w:cs="Times New Roman" w:eastAsia="Times New Roman" w:hAnsi="Times New Roman"/>
          <w:sz w:val="18"/>
          <w:szCs w:val="18"/>
          <w:color w:val="333333"/>
        </w:rPr>
      </w:pPr>
    </w:p>
    <w:p>
      <w:pPr>
        <w:ind w:left="380" w:hanging="378"/>
        <w:spacing w:after="0"/>
        <w:tabs>
          <w:tab w:leader="none" w:pos="380" w:val="left"/>
        </w:tabs>
        <w:numPr>
          <w:ilvl w:val="0"/>
          <w:numId w:val="4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43741"/>
        </w:rPr>
        <w:t>The categories of third parties to whom we’ve disclosed your personal information.</w:t>
      </w:r>
    </w:p>
    <w:p>
      <w:pPr>
        <w:spacing w:after="0" w:line="2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343741"/>
        </w:rPr>
        <w:t xml:space="preserve">To exercise your CCPA right to request this information, either e-mail us at </w:t>
      </w:r>
      <w:r>
        <w:rPr>
          <w:rFonts w:ascii="Times New Roman" w:cs="Times New Roman" w:eastAsia="Times New Roman" w:hAnsi="Times New Roman"/>
          <w:sz w:val="18"/>
          <w:szCs w:val="18"/>
          <w:u w:val="single" w:color="auto"/>
          <w:color w:val="0563C1"/>
        </w:rPr>
        <w:t>privacy@ofsmanagement.com</w:t>
      </w:r>
      <w:r>
        <w:rPr>
          <w:rFonts w:ascii="Times New Roman" w:cs="Times New Roman" w:eastAsia="Times New Roman" w:hAnsi="Times New Roman"/>
          <w:sz w:val="18"/>
          <w:szCs w:val="18"/>
          <w:color w:val="343741"/>
        </w:rPr>
        <w:t xml:space="preserve">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343741"/>
        </w:rPr>
        <w:t xml:space="preserve"> contact us at 1-833-687-3622 These requests for disclosure are generally free.</w:t>
      </w:r>
    </w:p>
    <w:p>
      <w:pPr>
        <w:spacing w:after="0" w:line="171" w:lineRule="exact"/>
        <w:rPr>
          <w:sz w:val="20"/>
          <w:szCs w:val="20"/>
          <w:color w:val="auto"/>
        </w:rPr>
      </w:pPr>
    </w:p>
    <w:p>
      <w:pPr>
        <w:ind w:left="380" w:hanging="378"/>
        <w:spacing w:after="0"/>
        <w:tabs>
          <w:tab w:leader="none" w:pos="380" w:val="left"/>
        </w:tabs>
        <w:numPr>
          <w:ilvl w:val="0"/>
          <w:numId w:val="45"/>
        </w:numPr>
        <w:rPr>
          <w:rFonts w:ascii="Times New Roman" w:cs="Times New Roman" w:eastAsia="Times New Roman" w:hAnsi="Times New Roman"/>
          <w:sz w:val="18"/>
          <w:szCs w:val="18"/>
          <w:b w:val="1"/>
          <w:bCs w:val="1"/>
          <w:color w:val="333333"/>
        </w:rPr>
      </w:pPr>
      <w:r>
        <w:rPr>
          <w:rFonts w:ascii="Times New Roman" w:cs="Times New Roman" w:eastAsia="Times New Roman" w:hAnsi="Times New Roman"/>
          <w:sz w:val="18"/>
          <w:szCs w:val="18"/>
          <w:b w:val="1"/>
          <w:bCs w:val="1"/>
          <w:color w:val="343741"/>
        </w:rPr>
        <w:t>Your Right to Request the Deletion of Personal Information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343741"/>
        </w:rPr>
        <w:t>Upon your request, and subject to certain exceptions, we will delete, and direct applicable service providers to delete, the personal information we have collected about you.</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343741"/>
        </w:rPr>
        <w:t xml:space="preserve">To exercise your right to request the deletion of your personal information, either e-mail us at </w:t>
      </w:r>
      <w:r>
        <w:rPr>
          <w:rFonts w:ascii="Times New Roman" w:cs="Times New Roman" w:eastAsia="Times New Roman" w:hAnsi="Times New Roman"/>
          <w:sz w:val="18"/>
          <w:szCs w:val="18"/>
          <w:u w:val="single" w:color="auto"/>
          <w:color w:val="0563C1"/>
        </w:rPr>
        <w:t>privacy@ofsmanagement.com</w:t>
      </w:r>
      <w:r>
        <w:rPr>
          <w:rFonts w:ascii="Times New Roman" w:cs="Times New Roman" w:eastAsia="Times New Roman" w:hAnsi="Times New Roman"/>
          <w:sz w:val="18"/>
          <w:szCs w:val="18"/>
          <w:color w:val="343741"/>
        </w:rPr>
        <w:t xml:space="preserve">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343741"/>
        </w:rPr>
        <w:t xml:space="preserve"> contact us at 1-833-687-3622. These requests for deletion are generally free.</w:t>
      </w:r>
    </w:p>
    <w:p>
      <w:pPr>
        <w:spacing w:after="0" w:line="171" w:lineRule="exact"/>
        <w:rPr>
          <w:sz w:val="20"/>
          <w:szCs w:val="20"/>
          <w:color w:val="auto"/>
        </w:rPr>
      </w:pPr>
    </w:p>
    <w:p>
      <w:pPr>
        <w:ind w:left="380" w:hanging="378"/>
        <w:spacing w:after="0"/>
        <w:tabs>
          <w:tab w:leader="none" w:pos="380" w:val="left"/>
        </w:tabs>
        <w:numPr>
          <w:ilvl w:val="0"/>
          <w:numId w:val="46"/>
        </w:numPr>
        <w:rPr>
          <w:rFonts w:ascii="Times New Roman" w:cs="Times New Roman" w:eastAsia="Times New Roman" w:hAnsi="Times New Roman"/>
          <w:sz w:val="18"/>
          <w:szCs w:val="18"/>
          <w:b w:val="1"/>
          <w:bCs w:val="1"/>
          <w:color w:val="333333"/>
        </w:rPr>
      </w:pPr>
      <w:r>
        <w:rPr>
          <w:rFonts w:ascii="Times New Roman" w:cs="Times New Roman" w:eastAsia="Times New Roman" w:hAnsi="Times New Roman"/>
          <w:sz w:val="18"/>
          <w:szCs w:val="18"/>
          <w:b w:val="1"/>
          <w:bCs w:val="1"/>
          <w:color w:val="343741"/>
        </w:rPr>
        <w:t>Your Right to Ask Us Not to Sell or Share Your Personal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43741"/>
        </w:rPr>
        <w:t>We do not, and will not, sell or share your personal information.</w:t>
      </w:r>
    </w:p>
    <w:p>
      <w:pPr>
        <w:spacing w:after="0" w:line="235" w:lineRule="exact"/>
        <w:rPr>
          <w:sz w:val="20"/>
          <w:szCs w:val="20"/>
          <w:color w:val="auto"/>
        </w:rPr>
      </w:pPr>
    </w:p>
    <w:p>
      <w:pPr>
        <w:ind w:left="380" w:hanging="378"/>
        <w:spacing w:after="0"/>
        <w:tabs>
          <w:tab w:leader="none" w:pos="380" w:val="left"/>
        </w:tabs>
        <w:numPr>
          <w:ilvl w:val="0"/>
          <w:numId w:val="47"/>
        </w:numPr>
        <w:rPr>
          <w:rFonts w:ascii="Times New Roman" w:cs="Times New Roman" w:eastAsia="Times New Roman" w:hAnsi="Times New Roman"/>
          <w:sz w:val="18"/>
          <w:szCs w:val="18"/>
          <w:b w:val="1"/>
          <w:bCs w:val="1"/>
          <w:color w:val="333333"/>
        </w:rPr>
      </w:pPr>
      <w:r>
        <w:rPr>
          <w:rFonts w:ascii="Times New Roman" w:cs="Times New Roman" w:eastAsia="Times New Roman" w:hAnsi="Times New Roman"/>
          <w:sz w:val="18"/>
          <w:szCs w:val="18"/>
          <w:b w:val="1"/>
          <w:bCs w:val="1"/>
          <w:color w:val="343741"/>
        </w:rPr>
        <w:t>Your Right to Request the Correction of Your Personal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43741"/>
        </w:rPr>
        <w:t>Upon your request, and subject to certain limitations, we will correct any inaccurate personal information we maintain about you.</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343741"/>
        </w:rPr>
        <w:t xml:space="preserve">To exercise your right to request the correction of your personal information, either e-mail us at </w:t>
      </w:r>
      <w:r>
        <w:rPr>
          <w:rFonts w:ascii="Times New Roman" w:cs="Times New Roman" w:eastAsia="Times New Roman" w:hAnsi="Times New Roman"/>
          <w:sz w:val="18"/>
          <w:szCs w:val="18"/>
          <w:u w:val="single" w:color="auto"/>
          <w:color w:val="0563C1"/>
        </w:rPr>
        <w:t>privacy@ofsmanagement.com</w:t>
      </w:r>
      <w:r>
        <w:rPr>
          <w:rFonts w:ascii="Times New Roman" w:cs="Times New Roman" w:eastAsia="Times New Roman" w:hAnsi="Times New Roman"/>
          <w:sz w:val="18"/>
          <w:szCs w:val="18"/>
          <w:color w:val="343741"/>
        </w:rPr>
        <w:t xml:space="preserve"> or contact us at 1-833-687-3622. These requests for correction are generally free.</w:t>
      </w:r>
    </w:p>
    <w:p>
      <w:pPr>
        <w:spacing w:after="0" w:line="158" w:lineRule="exact"/>
        <w:rPr>
          <w:sz w:val="20"/>
          <w:szCs w:val="20"/>
          <w:color w:val="auto"/>
        </w:rPr>
      </w:pPr>
    </w:p>
    <w:p>
      <w:pPr>
        <w:ind w:left="380" w:hanging="378"/>
        <w:spacing w:after="0"/>
        <w:tabs>
          <w:tab w:leader="none" w:pos="380" w:val="left"/>
        </w:tabs>
        <w:numPr>
          <w:ilvl w:val="0"/>
          <w:numId w:val="48"/>
        </w:numPr>
        <w:rPr>
          <w:rFonts w:ascii="Times New Roman" w:cs="Times New Roman" w:eastAsia="Times New Roman" w:hAnsi="Times New Roman"/>
          <w:sz w:val="18"/>
          <w:szCs w:val="18"/>
          <w:b w:val="1"/>
          <w:bCs w:val="1"/>
          <w:color w:val="333333"/>
        </w:rPr>
      </w:pPr>
      <w:r>
        <w:rPr>
          <w:rFonts w:ascii="Times New Roman" w:cs="Times New Roman" w:eastAsia="Times New Roman" w:hAnsi="Times New Roman"/>
          <w:sz w:val="18"/>
          <w:szCs w:val="18"/>
          <w:b w:val="1"/>
          <w:bCs w:val="1"/>
          <w:color w:val="333333"/>
        </w:rPr>
        <w:t>Our Use or Disclosure of Sensitive Personal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We only use and disclose Sensitive Personal Information for the purposes set forth in Section 7027(m) of the CCPA regulations.</w:t>
      </w:r>
    </w:p>
    <w:p>
      <w:pPr>
        <w:spacing w:after="0" w:line="221" w:lineRule="exact"/>
        <w:rPr>
          <w:sz w:val="20"/>
          <w:szCs w:val="20"/>
          <w:color w:val="auto"/>
        </w:rPr>
      </w:pPr>
    </w:p>
    <w:p>
      <w:pPr>
        <w:ind w:left="380" w:hanging="378"/>
        <w:spacing w:after="0"/>
        <w:tabs>
          <w:tab w:leader="none" w:pos="380" w:val="left"/>
        </w:tabs>
        <w:numPr>
          <w:ilvl w:val="0"/>
          <w:numId w:val="49"/>
        </w:numPr>
        <w:rPr>
          <w:rFonts w:ascii="Times New Roman" w:cs="Times New Roman" w:eastAsia="Times New Roman" w:hAnsi="Times New Roman"/>
          <w:sz w:val="18"/>
          <w:szCs w:val="18"/>
          <w:b w:val="1"/>
          <w:bCs w:val="1"/>
          <w:color w:val="333333"/>
        </w:rPr>
      </w:pPr>
      <w:r>
        <w:rPr>
          <w:rFonts w:ascii="Times New Roman" w:cs="Times New Roman" w:eastAsia="Times New Roman" w:hAnsi="Times New Roman"/>
          <w:sz w:val="18"/>
          <w:szCs w:val="18"/>
          <w:b w:val="1"/>
          <w:bCs w:val="1"/>
          <w:color w:val="343741"/>
        </w:rPr>
        <w:t>Our Support for the Exercise of Your Data Rights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343741"/>
        </w:rPr>
        <w:t>We are committed to providing you control over your personal information. If you exercise any of these rights explained in this section of the Privacy Notice, we will not disadvantage you. You will not be denied or charged different prices or rates for goods or services or provided a different level or quality of goods or services.</w:t>
      </w:r>
    </w:p>
    <w:p>
      <w:pPr>
        <w:spacing w:after="0" w:line="172" w:lineRule="exact"/>
        <w:rPr>
          <w:sz w:val="20"/>
          <w:szCs w:val="20"/>
          <w:color w:val="auto"/>
        </w:rPr>
      </w:pPr>
    </w:p>
    <w:p>
      <w:pPr>
        <w:ind w:left="380" w:hanging="378"/>
        <w:spacing w:after="0"/>
        <w:tabs>
          <w:tab w:leader="none" w:pos="380" w:val="left"/>
        </w:tabs>
        <w:numPr>
          <w:ilvl w:val="0"/>
          <w:numId w:val="50"/>
        </w:numPr>
        <w:rPr>
          <w:rFonts w:ascii="Times New Roman" w:cs="Times New Roman" w:eastAsia="Times New Roman" w:hAnsi="Times New Roman"/>
          <w:sz w:val="18"/>
          <w:szCs w:val="18"/>
          <w:b w:val="1"/>
          <w:bCs w:val="1"/>
          <w:color w:val="333333"/>
        </w:rPr>
      </w:pPr>
      <w:r>
        <w:rPr>
          <w:rFonts w:ascii="Times New Roman" w:cs="Times New Roman" w:eastAsia="Times New Roman" w:hAnsi="Times New Roman"/>
          <w:sz w:val="18"/>
          <w:szCs w:val="18"/>
          <w:b w:val="1"/>
          <w:bCs w:val="1"/>
          <w:color w:val="343741"/>
        </w:rPr>
        <w:t>How We Will Handle a Request to Exercise Your Rights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343741"/>
        </w:rPr>
        <w:t>For requests for access or deletion, we will first acknowledge receipt of your request. We will provide a substantive response to your request as soon as we can, generally within 45 days from when we receive your request, although we may be allowed to take longer to process your request under certain circumstances. If we expect your request is going to take us longer than normal to fulfil, we’ll let you know.</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343741"/>
        </w:rPr>
        <w:t>When you make a request to access, correct, or delete your personal information, we will take steps to verify your identity. These steps may include asking you for personal information, such as your name, address, or other information we maintain about you. If we are unable to verify your identity with the degree of certainty required, we will not be able to respond to the request. We will notify you to explain the basis of the denial.</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343741"/>
        </w:rPr>
        <w:t>You may also designate an authorized agent to submit requests on your behalf. If you do so, you will be required to verify your identity by providing us with certain personal information as described above. Additionally, we will also require that you provide the agent with written permission to act on your behalf, and we will deny the request if the agent is unable to submit proof to us that you have authorized them to act on your behalf.</w:t>
      </w:r>
    </w:p>
    <w:p>
      <w:pPr>
        <w:jc w:val="center"/>
        <w:ind w:right="3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493395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184" w:right="339"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w:t>
      </w:r>
      <w:r>
        <w:rPr>
          <w:rFonts w:ascii="Times New Roman" w:cs="Times New Roman" w:eastAsia="Times New Roman" w:hAnsi="Times New Roman"/>
          <w:sz w:val="18"/>
          <w:szCs w:val="18"/>
          <w:color w:val="auto"/>
        </w:rPr>
        <w:t>The Notice of Annual Meeting and Proxy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Annual Report on Form N-CSR and Semi-Annual Report on Form N-CSR are available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DETACH AND RETURN THIS PORTION ONLY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 OF</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AUGUST 13, 2026</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FOR SHARES OF COMMON STOCK AND PREFERRED STOCK</w:t>
      </w:r>
    </w:p>
    <w:p>
      <w:pPr>
        <w:spacing w:after="0" w:line="200" w:lineRule="exact"/>
        <w:rPr>
          <w:sz w:val="20"/>
          <w:szCs w:val="20"/>
          <w:color w:val="auto"/>
        </w:rPr>
      </w:pPr>
    </w:p>
    <w:p>
      <w:pPr>
        <w:spacing w:after="0" w:line="2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undersigned, revoking all prior proxies, hereby appoints Kyle Spina and Tod K. Reichert, as proxies, each with the power to appoint his substitute, and hereby authorizes each of them to represent and vote, as designated on the reverse side, all shares of Common Stock or Preferred Stock, as applicable, of OFS Credit Company, Inc. held of record by the undersigned on June 18, 2026 at the Annual Meeting of Stockholders to be held on August 13, 2026 at 10:00 a.m., local time, at 222 West Adams Street, Suite 1850, Chicago, Illinois 60606, and any adjournments or postponements thereof. The undersigned hereby directs Messrs. Spina and Reichert to vote in accordance with their best judgment on any matters which may properly come before the Annual Meeting, all as indicated in the Notice of Annual Meeting, receipt of which is hereby acknowledged, and to act on the matters set forth in such Notice as specified by the undersigned.</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THIS PROXY, WHEN PROPERLY EXECUTED, WILL BE VOTED AS DIRECTED. IF NO DIRECTION IS GIVEN WITH RESPECT TO A PARTICULAR PROPOSAL, THIS PROXY WILL BE VOTED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ELECTION OF THE LISTED NOMINEE OF OUR BOARD OF DIRECTORS UNDER PROPOSAL 1,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PROPOSAL 2 AND, IN THE DISCRETION OF MESSRS. SPINA AND REICHERT, ON ANY OTHER ITEMS THAT MAY PROPERLY COME BEFORE THE ANNUAL MEETING. ATTENDANCE OF THE UNDERSIGNED IN PERSON AT THE ANNUAL MEETING OR AT ANY ADJOURNMENT OR POSTPONEMENT THEREOF WILL NOT BE DEEMED TO REVOKE THE PROXY UNLESS THE UNDERSIGNED REVOKES THIS PROXY IN WRITING.</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ind w:left="1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267970</wp:posOffset>
            </wp:positionH>
            <wp:positionV relativeFrom="page">
              <wp:posOffset>568960</wp:posOffset>
            </wp:positionV>
            <wp:extent cx="1971675" cy="2400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971675" cy="240030"/>
                    </a:xfrm>
                    <a:prstGeom prst="rect">
                      <a:avLst/>
                    </a:prstGeom>
                    <a:noFill/>
                  </pic:spPr>
                </pic:pic>
              </a:graphicData>
            </a:graphic>
          </wp:anchor>
        </w:drawing>
        <w:drawing>
          <wp:anchor simplePos="0" relativeHeight="251657728" behindDoc="1" locked="0" layoutInCell="0" allowOverlap="1">
            <wp:simplePos x="0" y="0"/>
            <wp:positionH relativeFrom="page">
              <wp:posOffset>3714115</wp:posOffset>
            </wp:positionH>
            <wp:positionV relativeFrom="page">
              <wp:posOffset>732155</wp:posOffset>
            </wp:positionV>
            <wp:extent cx="2065655" cy="4286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2065655" cy="428625"/>
                    </a:xfrm>
                    <a:prstGeom prst="rect">
                      <a:avLst/>
                    </a:prstGeom>
                    <a:noFill/>
                  </pic:spPr>
                </pic:pic>
              </a:graphicData>
            </a:graphic>
          </wp:anchor>
        </w:drawing>
        <w:t>OFS CREDIT COMPANY, INC.</w:t>
      </w:r>
    </w:p>
    <w:p>
      <w:pPr>
        <w:ind w:left="100"/>
        <w:spacing w:after="0" w:line="229" w:lineRule="auto"/>
        <w:rPr>
          <w:sz w:val="20"/>
          <w:szCs w:val="20"/>
          <w:color w:val="auto"/>
        </w:rPr>
      </w:pPr>
      <w:r>
        <w:rPr>
          <w:rFonts w:ascii="Times New Roman" w:cs="Times New Roman" w:eastAsia="Times New Roman" w:hAnsi="Times New Roman"/>
          <w:sz w:val="14"/>
          <w:szCs w:val="14"/>
          <w:b w:val="1"/>
          <w:bCs w:val="1"/>
          <w:color w:val="auto"/>
        </w:rPr>
        <w:t>222 WEST ADAMS STREET</w:t>
      </w:r>
    </w:p>
    <w:p>
      <w:pPr>
        <w:ind w:left="100"/>
        <w:spacing w:after="0" w:line="221" w:lineRule="auto"/>
        <w:rPr>
          <w:sz w:val="20"/>
          <w:szCs w:val="20"/>
          <w:color w:val="auto"/>
        </w:rPr>
      </w:pPr>
      <w:r>
        <w:rPr>
          <w:rFonts w:ascii="Times New Roman" w:cs="Times New Roman" w:eastAsia="Times New Roman" w:hAnsi="Times New Roman"/>
          <w:sz w:val="14"/>
          <w:szCs w:val="14"/>
          <w:b w:val="1"/>
          <w:bCs w:val="1"/>
          <w:color w:val="auto"/>
        </w:rPr>
        <w:t>SUITE 1850</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CHICAGO, IL 60606</w:t>
      </w:r>
    </w:p>
    <w:p>
      <w:pPr>
        <w:spacing w:after="0" w:line="4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b w:val="1"/>
          <w:bCs w:val="1"/>
          <w:color w:val="auto"/>
        </w:rPr>
        <w:t xml:space="preserve">VOTE BY INTERNET – </w:t>
      </w:r>
      <w:r>
        <w:rPr>
          <w:rFonts w:ascii="Times New Roman" w:cs="Times New Roman" w:eastAsia="Times New Roman" w:hAnsi="Times New Roman"/>
          <w:sz w:val="13"/>
          <w:szCs w:val="13"/>
          <w:b w:val="1"/>
          <w:bCs w:val="1"/>
          <w:u w:val="single" w:color="auto"/>
          <w:color w:val="auto"/>
        </w:rPr>
        <w:t>www.proxyvote.</w:t>
      </w:r>
      <w:r>
        <w:rPr>
          <w:rFonts w:ascii="Times New Roman" w:cs="Times New Roman" w:eastAsia="Times New Roman" w:hAnsi="Times New Roman"/>
          <w:sz w:val="13"/>
          <w:szCs w:val="13"/>
          <w:b w:val="1"/>
          <w:bCs w:val="1"/>
          <w:color w:val="auto"/>
        </w:rPr>
        <w:t>com or scan the QR Barcode above</w:t>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Use the Internet to transmit your voting instructions and for electronic delivery of information up until</w:t>
      </w:r>
    </w:p>
    <w:p>
      <w:pPr>
        <w:ind w:left="5540"/>
        <w:spacing w:after="0"/>
        <w:rPr>
          <w:sz w:val="20"/>
          <w:szCs w:val="20"/>
          <w:color w:val="auto"/>
        </w:rPr>
      </w:pPr>
      <w:r>
        <w:rPr>
          <w:rFonts w:ascii="Times New Roman" w:cs="Times New Roman" w:eastAsia="Times New Roman" w:hAnsi="Times New Roman"/>
          <w:sz w:val="13"/>
          <w:szCs w:val="13"/>
          <w:color w:val="auto"/>
        </w:rPr>
        <w:t>11:59 P.M. Eastern Time on August 12, 2026. Have your proxy card in hand when you access the web</w:t>
      </w:r>
    </w:p>
    <w:p>
      <w:pPr>
        <w:ind w:left="5540"/>
        <w:spacing w:after="0"/>
        <w:rPr>
          <w:sz w:val="20"/>
          <w:szCs w:val="20"/>
          <w:color w:val="auto"/>
        </w:rPr>
      </w:pPr>
      <w:r>
        <w:rPr>
          <w:rFonts w:ascii="Times New Roman" w:cs="Times New Roman" w:eastAsia="Times New Roman" w:hAnsi="Times New Roman"/>
          <w:sz w:val="13"/>
          <w:szCs w:val="13"/>
          <w:color w:val="auto"/>
        </w:rPr>
        <w:t>site and follow the instructions to obtain your records and to create an electronic voting instruction</w:t>
      </w:r>
    </w:p>
    <w:p>
      <w:pPr>
        <w:ind w:left="5540"/>
        <w:spacing w:after="0"/>
        <w:rPr>
          <w:sz w:val="20"/>
          <w:szCs w:val="20"/>
          <w:color w:val="auto"/>
        </w:rPr>
      </w:pPr>
      <w:r>
        <w:rPr>
          <w:rFonts w:ascii="Times New Roman" w:cs="Times New Roman" w:eastAsia="Times New Roman" w:hAnsi="Times New Roman"/>
          <w:sz w:val="13"/>
          <w:szCs w:val="13"/>
          <w:color w:val="auto"/>
        </w:rPr>
        <w:t>form.</w:t>
      </w:r>
    </w:p>
    <w:p>
      <w:pPr>
        <w:spacing w:after="0" w:line="1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b w:val="1"/>
          <w:bCs w:val="1"/>
          <w:color w:val="auto"/>
        </w:rPr>
        <w:t>ELECTRONIC DELIVERY OF FUTURE PROXY MATERIALS</w:t>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If you would like to reduce the costs incurred by our company in mailing proxy materials, you can</w:t>
      </w:r>
    </w:p>
    <w:p>
      <w:pPr>
        <w:ind w:left="5540"/>
        <w:spacing w:after="0"/>
        <w:rPr>
          <w:sz w:val="20"/>
          <w:szCs w:val="20"/>
          <w:color w:val="auto"/>
        </w:rPr>
      </w:pPr>
      <w:r>
        <w:rPr>
          <w:rFonts w:ascii="Times New Roman" w:cs="Times New Roman" w:eastAsia="Times New Roman" w:hAnsi="Times New Roman"/>
          <w:sz w:val="13"/>
          <w:szCs w:val="13"/>
          <w:color w:val="auto"/>
        </w:rPr>
        <w:t>consent to receiving all future proxy statements, proxy cards and annual reports electronically via e-</w:t>
      </w:r>
    </w:p>
    <w:p>
      <w:pPr>
        <w:ind w:left="5540"/>
        <w:spacing w:after="0"/>
        <w:rPr>
          <w:sz w:val="20"/>
          <w:szCs w:val="20"/>
          <w:color w:val="auto"/>
        </w:rPr>
      </w:pPr>
      <w:r>
        <w:rPr>
          <w:rFonts w:ascii="Times New Roman" w:cs="Times New Roman" w:eastAsia="Times New Roman" w:hAnsi="Times New Roman"/>
          <w:sz w:val="13"/>
          <w:szCs w:val="13"/>
          <w:color w:val="auto"/>
        </w:rPr>
        <w:t>mail or the Internet. To sign up for electronic delivery, please follow the instructions above to vote</w:t>
      </w:r>
    </w:p>
    <w:p>
      <w:pPr>
        <w:ind w:left="5540"/>
        <w:spacing w:after="0"/>
        <w:rPr>
          <w:sz w:val="20"/>
          <w:szCs w:val="20"/>
          <w:color w:val="auto"/>
        </w:rPr>
      </w:pPr>
      <w:r>
        <w:rPr>
          <w:rFonts w:ascii="Times New Roman" w:cs="Times New Roman" w:eastAsia="Times New Roman" w:hAnsi="Times New Roman"/>
          <w:sz w:val="13"/>
          <w:szCs w:val="13"/>
          <w:color w:val="auto"/>
        </w:rPr>
        <w:t>using the Internet and, when prompted, indicate that you agree to receive or access proxy materials</w:t>
      </w:r>
    </w:p>
    <w:p>
      <w:pPr>
        <w:ind w:left="5540"/>
        <w:spacing w:after="0"/>
        <w:rPr>
          <w:sz w:val="20"/>
          <w:szCs w:val="20"/>
          <w:color w:val="auto"/>
        </w:rPr>
      </w:pPr>
      <w:r>
        <w:rPr>
          <w:rFonts w:ascii="Times New Roman" w:cs="Times New Roman" w:eastAsia="Times New Roman" w:hAnsi="Times New Roman"/>
          <w:sz w:val="13"/>
          <w:szCs w:val="13"/>
          <w:color w:val="auto"/>
        </w:rPr>
        <w:t>electronically in future years.</w:t>
      </w:r>
    </w:p>
    <w:p>
      <w:pPr>
        <w:spacing w:after="0" w:line="1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b w:val="1"/>
          <w:bCs w:val="1"/>
          <w:color w:val="auto"/>
        </w:rPr>
        <w:t>VOTE BY PHONE - 1-[800-690-6903]</w:t>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Use any touch-tone telephone to transmit your voting instructions up until 11:59 P.M. Eastern Time on</w:t>
      </w:r>
    </w:p>
    <w:p>
      <w:pPr>
        <w:ind w:left="5540"/>
        <w:spacing w:after="0"/>
        <w:rPr>
          <w:sz w:val="20"/>
          <w:szCs w:val="20"/>
          <w:color w:val="auto"/>
        </w:rPr>
      </w:pPr>
      <w:r>
        <w:rPr>
          <w:rFonts w:ascii="Times New Roman" w:cs="Times New Roman" w:eastAsia="Times New Roman" w:hAnsi="Times New Roman"/>
          <w:sz w:val="13"/>
          <w:szCs w:val="13"/>
          <w:color w:val="auto"/>
        </w:rPr>
        <w:t>August 12, 2026. Have your proxy card in hand when you call and then follow the instructions.</w:t>
      </w:r>
    </w:p>
    <w:p>
      <w:pPr>
        <w:spacing w:after="0" w:line="1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b w:val="1"/>
          <w:bCs w:val="1"/>
          <w:color w:val="auto"/>
        </w:rPr>
        <w:t>VOTE BY MAIL</w:t>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Mark, sign and date your proxy card and return it in the postage-paid envelope we have provided or</w:t>
      </w:r>
    </w:p>
    <w:p>
      <w:pPr>
        <w:ind w:left="5540"/>
        <w:spacing w:after="0"/>
        <w:rPr>
          <w:sz w:val="20"/>
          <w:szCs w:val="20"/>
          <w:color w:val="auto"/>
        </w:rPr>
      </w:pPr>
      <w:r>
        <w:rPr>
          <w:rFonts w:ascii="Times New Roman" w:cs="Times New Roman" w:eastAsia="Times New Roman" w:hAnsi="Times New Roman"/>
          <w:sz w:val="13"/>
          <w:szCs w:val="13"/>
          <w:color w:val="auto"/>
        </w:rPr>
        <w:t>return it to Vote Processing, c/o Broadridge, 51 Mercedes Way, Edgewood, NY 11717.</w:t>
      </w:r>
    </w:p>
    <w:p>
      <w:pPr>
        <w:spacing w:after="0" w:line="187" w:lineRule="exact"/>
        <w:rPr>
          <w:sz w:val="20"/>
          <w:szCs w:val="20"/>
          <w:color w:val="auto"/>
        </w:rPr>
      </w:pPr>
    </w:p>
    <w:p>
      <w:pPr>
        <w:ind w:left="120"/>
        <w:spacing w:after="0" w:line="161" w:lineRule="exact"/>
        <w:tabs>
          <w:tab w:leader="none" w:pos="8000" w:val="left"/>
        </w:tabs>
        <w:rPr>
          <w:sz w:val="20"/>
          <w:szCs w:val="20"/>
          <w:color w:val="auto"/>
        </w:rPr>
      </w:pPr>
      <w:r>
        <w:rPr>
          <w:rFonts w:ascii="Times New Roman" w:cs="Times New Roman" w:eastAsia="Times New Roman" w:hAnsi="Times New Roman"/>
          <w:sz w:val="14"/>
          <w:szCs w:val="14"/>
          <w:b w:val="1"/>
          <w:bCs w:val="1"/>
          <w:color w:val="auto"/>
        </w:rPr>
        <w:t xml:space="preserve">TO VOTE, MARK BLOCKS BELOW IN BLUE OR BLACK INK AS FOLLOWS: </w:t>
      </w:r>
      <w:r>
        <w:rPr>
          <w:rFonts w:ascii="MS PGothic" w:cs="MS PGothic" w:eastAsia="MS PGothic" w:hAnsi="MS PGothic"/>
          <w:sz w:val="14"/>
          <w:szCs w:val="14"/>
          <w:color w:val="auto"/>
          <w:highlight w:val="black"/>
        </w:rPr>
        <w:t>☒</w:t>
      </w:r>
      <w:r>
        <w:rPr>
          <w:sz w:val="20"/>
          <w:szCs w:val="20"/>
          <w:color w:val="auto"/>
        </w:rPr>
        <w:tab/>
      </w:r>
      <w:r>
        <w:rPr>
          <w:rFonts w:ascii="Times New Roman" w:cs="Times New Roman" w:eastAsia="Times New Roman" w:hAnsi="Times New Roman"/>
          <w:sz w:val="14"/>
          <w:szCs w:val="14"/>
          <w:b w:val="1"/>
          <w:bCs w:val="1"/>
          <w:color w:val="auto"/>
        </w:rPr>
        <w:t>KEEP THIS PORTION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DETACH AND RETURN THIS PORTION ONLY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CARD IS VALID ONLY WHEN SIGNED AND DATED</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1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 xml:space="preserve">THE BOARD OF DIRECTORS RECOMMENDS YOU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THE</w:t>
      </w:r>
    </w:p>
    <w:p>
      <w:pPr>
        <w:spacing w:after="0" w:line="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 xml:space="preserve">LISTED DIRECTOR NOMINEE AND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PROPOSAL 2.</w:t>
      </w:r>
    </w:p>
    <w:p>
      <w:pPr>
        <w:spacing w:after="0" w:line="6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Election of Director</w:t>
      </w:r>
    </w:p>
    <w:p>
      <w:pPr>
        <w:sectPr>
          <w:pgSz w:w="11900" w:h="16838" w:orient="portrait"/>
          <w:cols w:equalWidth="0" w:num="1">
            <w:col w:w="11240"/>
          </w:cols>
          <w:pgMar w:left="320" w:top="1397" w:right="339" w:bottom="1440" w:gutter="0" w:footer="0" w:header="0"/>
        </w:sectPr>
      </w:pPr>
    </w:p>
    <w:p>
      <w:pPr>
        <w:spacing w:after="0" w:line="103" w:lineRule="exact"/>
        <w:rPr>
          <w:sz w:val="20"/>
          <w:szCs w:val="20"/>
          <w:color w:val="auto"/>
        </w:rPr>
      </w:pPr>
    </w:p>
    <w:p>
      <w:pPr>
        <w:ind w:left="100"/>
        <w:spacing w:after="0" w:line="262" w:lineRule="auto"/>
        <w:rPr>
          <w:sz w:val="20"/>
          <w:szCs w:val="20"/>
          <w:color w:val="auto"/>
        </w:rPr>
      </w:pPr>
      <w:r>
        <w:rPr>
          <w:rFonts w:ascii="Times New Roman" w:cs="Times New Roman" w:eastAsia="Times New Roman" w:hAnsi="Times New Roman"/>
          <w:sz w:val="13"/>
          <w:szCs w:val="13"/>
          <w:b w:val="1"/>
          <w:bCs w:val="1"/>
          <w:color w:val="auto"/>
        </w:rPr>
        <w:t>1. The election of the following person (except as marked to the contrary) who will serve as a Class II director of OFS Credit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FOR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NOMINEE</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WITHHOLD FROM</w:t>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b w:val="1"/>
          <w:bCs w:val="1"/>
          <w:color w:val="auto"/>
        </w:rPr>
        <w:t>NOMINEE</w:t>
      </w:r>
    </w:p>
    <w:p>
      <w:pPr>
        <w:spacing w:after="0" w:line="11" w:lineRule="exact"/>
        <w:rPr>
          <w:sz w:val="20"/>
          <w:szCs w:val="20"/>
          <w:color w:val="auto"/>
        </w:rPr>
      </w:pPr>
    </w:p>
    <w:p>
      <w:pPr>
        <w:sectPr>
          <w:pgSz w:w="11900" w:h="16838" w:orient="portrait"/>
          <w:cols w:equalWidth="0" w:num="3">
            <w:col w:w="4080" w:space="320"/>
            <w:col w:w="660" w:space="380"/>
            <w:col w:w="5800"/>
          </w:cols>
          <w:pgMar w:left="320" w:top="1397" w:right="339" w:bottom="1440" w:gutter="0" w:footer="0" w:header="0"/>
          <w:type w:val="continuous"/>
        </w:sectPr>
      </w:pPr>
    </w:p>
    <w:p>
      <w:pPr>
        <w:ind w:left="100"/>
        <w:spacing w:after="0" w:line="220" w:lineRule="auto"/>
        <w:rPr>
          <w:sz w:val="20"/>
          <w:szCs w:val="20"/>
          <w:color w:val="auto"/>
        </w:rPr>
      </w:pPr>
      <w:r>
        <w:rPr>
          <w:rFonts w:ascii="Times New Roman" w:cs="Times New Roman" w:eastAsia="Times New Roman" w:hAnsi="Times New Roman"/>
          <w:sz w:val="13"/>
          <w:szCs w:val="13"/>
          <w:b w:val="1"/>
          <w:bCs w:val="1"/>
          <w:color w:val="auto"/>
        </w:rPr>
        <w:t>Company, Inc. until 2029, or until her successor is elected and</w:t>
      </w:r>
    </w:p>
    <w:p>
      <w:pPr>
        <w:ind w:left="100"/>
        <w:spacing w:after="0"/>
        <w:rPr>
          <w:sz w:val="20"/>
          <w:szCs w:val="20"/>
          <w:color w:val="auto"/>
        </w:rPr>
      </w:pPr>
      <w:r>
        <w:rPr>
          <w:rFonts w:ascii="Times New Roman" w:cs="Times New Roman" w:eastAsia="Times New Roman" w:hAnsi="Times New Roman"/>
          <w:sz w:val="13"/>
          <w:szCs w:val="13"/>
          <w:b w:val="1"/>
          <w:bCs w:val="1"/>
          <w:color w:val="auto"/>
        </w:rPr>
        <w:t>qualified</w:t>
      </w:r>
      <w:r>
        <w:rPr>
          <w:rFonts w:ascii="Times New Roman" w:cs="Times New Roman" w:eastAsia="Times New Roman" w:hAnsi="Times New Roman"/>
          <w:sz w:val="13"/>
          <w:szCs w:val="13"/>
          <w:color w:val="auto"/>
        </w:rPr>
        <w:t>.</w:t>
      </w:r>
    </w:p>
    <w:p>
      <w:pPr>
        <w:spacing w:after="0" w:line="2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Nominee: Class II Director</w:t>
      </w:r>
    </w:p>
    <w:p>
      <w:pPr>
        <w:sectPr>
          <w:pgSz w:w="11900" w:h="16838" w:orient="portrait"/>
          <w:cols w:equalWidth="0" w:num="1">
            <w:col w:w="11240"/>
          </w:cols>
          <w:pgMar w:left="320" w:top="1397" w:right="339" w:bottom="1440" w:gutter="0" w:footer="0" w:header="0"/>
          <w:type w:val="continuous"/>
        </w:sectPr>
      </w:pPr>
    </w:p>
    <w:p>
      <w:pPr>
        <w:spacing w:after="0" w:line="1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01) Kate M. Fitta</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Wingdings" w:cs="Wingdings" w:eastAsia="Wingdings" w:hAnsi="Wingdings"/>
          <w:sz w:val="13"/>
          <w:szCs w:val="13"/>
          <w:b w:val="1"/>
          <w:bCs w:val="1"/>
          <w:color w:val="auto"/>
          <w:highlight w:val="black"/>
        </w:rPr>
        <w:t></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Wingdings" w:cs="Wingdings" w:eastAsia="Wingdings" w:hAnsi="Wingdings"/>
          <w:sz w:val="13"/>
          <w:szCs w:val="13"/>
          <w:b w:val="1"/>
          <w:bCs w:val="1"/>
          <w:color w:val="auto"/>
          <w:highlight w:val="black"/>
        </w:rPr>
        <w:t></w:t>
      </w:r>
    </w:p>
    <w:p>
      <w:pPr>
        <w:spacing w:after="0" w:line="200" w:lineRule="exact"/>
        <w:rPr>
          <w:sz w:val="20"/>
          <w:szCs w:val="20"/>
          <w:color w:val="auto"/>
        </w:rPr>
      </w:pPr>
    </w:p>
    <w:p>
      <w:pPr>
        <w:sectPr>
          <w:pgSz w:w="11900" w:h="16838" w:orient="portrait"/>
          <w:cols w:equalWidth="0" w:num="3">
            <w:col w:w="3960" w:space="720"/>
            <w:col w:w="600" w:space="720"/>
            <w:col w:w="5240"/>
          </w:cols>
          <w:pgMar w:left="320" w:top="1397" w:right="339" w:bottom="1440" w:gutter="0" w:footer="0" w:header="0"/>
          <w:type w:val="continuous"/>
        </w:sectPr>
      </w:pPr>
    </w:p>
    <w:p>
      <w:pPr>
        <w:spacing w:after="0" w:line="152" w:lineRule="exact"/>
        <w:rPr>
          <w:sz w:val="20"/>
          <w:szCs w:val="20"/>
          <w:color w:val="auto"/>
        </w:rPr>
      </w:pPr>
    </w:p>
    <w:p>
      <w:pPr>
        <w:ind w:left="100"/>
        <w:spacing w:after="0" w:line="284" w:lineRule="auto"/>
        <w:rPr>
          <w:sz w:val="20"/>
          <w:szCs w:val="20"/>
          <w:color w:val="auto"/>
        </w:rPr>
      </w:pPr>
      <w:r>
        <w:rPr>
          <w:rFonts w:ascii="Times New Roman" w:cs="Times New Roman" w:eastAsia="Times New Roman" w:hAnsi="Times New Roman"/>
          <w:sz w:val="13"/>
          <w:szCs w:val="13"/>
          <w:b w:val="1"/>
          <w:bCs w:val="1"/>
          <w:color w:val="auto"/>
        </w:rPr>
        <w:t>2. The ratification of the selection of KPMG LLP as our independent registered public accounting firm for the year ending October 31, 2026.</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FOR</w:t>
      </w:r>
    </w:p>
    <w:p>
      <w:pPr>
        <w:spacing w:after="0" w:line="16" w:lineRule="exact"/>
        <w:rPr>
          <w:sz w:val="20"/>
          <w:szCs w:val="20"/>
          <w:color w:val="auto"/>
        </w:rPr>
      </w:pPr>
    </w:p>
    <w:p>
      <w:pPr>
        <w:jc w:val="center"/>
        <w:ind w:right="100"/>
        <w:spacing w:after="0"/>
        <w:rPr>
          <w:sz w:val="20"/>
          <w:szCs w:val="20"/>
          <w:color w:val="auto"/>
        </w:rPr>
      </w:pPr>
      <w:r>
        <w:rPr>
          <w:rFonts w:ascii="Wingdings" w:cs="Wingdings" w:eastAsia="Wingdings" w:hAnsi="Wingdings"/>
          <w:sz w:val="13"/>
          <w:szCs w:val="13"/>
          <w:b w:val="1"/>
          <w:bCs w:val="1"/>
          <w:color w:val="auto"/>
          <w:highlight w:val="black"/>
        </w:rPr>
        <w: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AGAINST</w:t>
      </w:r>
    </w:p>
    <w:p>
      <w:pPr>
        <w:spacing w:after="0" w:line="16" w:lineRule="exact"/>
        <w:rPr>
          <w:sz w:val="20"/>
          <w:szCs w:val="20"/>
          <w:color w:val="auto"/>
        </w:rPr>
      </w:pPr>
    </w:p>
    <w:p>
      <w:pPr>
        <w:jc w:val="center"/>
        <w:ind w:right="100"/>
        <w:spacing w:after="0"/>
        <w:rPr>
          <w:sz w:val="20"/>
          <w:szCs w:val="20"/>
          <w:color w:val="auto"/>
        </w:rPr>
      </w:pPr>
      <w:r>
        <w:rPr>
          <w:rFonts w:ascii="Wingdings" w:cs="Wingdings" w:eastAsia="Wingdings" w:hAnsi="Wingdings"/>
          <w:sz w:val="13"/>
          <w:szCs w:val="13"/>
          <w:b w:val="1"/>
          <w:bCs w:val="1"/>
          <w:color w:val="auto"/>
          <w:highlight w:val="black"/>
        </w:rPr>
        <w: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ABSTAIN</w:t>
      </w:r>
    </w:p>
    <w:p>
      <w:pPr>
        <w:spacing w:after="0" w:line="16" w:lineRule="exact"/>
        <w:rPr>
          <w:sz w:val="20"/>
          <w:szCs w:val="20"/>
          <w:color w:val="auto"/>
        </w:rPr>
      </w:pPr>
    </w:p>
    <w:p>
      <w:pPr>
        <w:jc w:val="center"/>
        <w:ind w:right="180"/>
        <w:spacing w:after="0"/>
        <w:rPr>
          <w:sz w:val="20"/>
          <w:szCs w:val="20"/>
          <w:color w:val="auto"/>
        </w:rPr>
      </w:pPr>
      <w:r>
        <w:rPr>
          <w:rFonts w:ascii="Wingdings" w:cs="Wingdings" w:eastAsia="Wingdings" w:hAnsi="Wingdings"/>
          <w:sz w:val="13"/>
          <w:szCs w:val="13"/>
          <w:b w:val="1"/>
          <w:bCs w:val="1"/>
          <w:color w:val="auto"/>
          <w:highlight w:val="black"/>
        </w:rPr>
        <w:t></w:t>
      </w:r>
    </w:p>
    <w:p>
      <w:pPr>
        <w:spacing w:after="0" w:line="136" w:lineRule="exact"/>
        <w:rPr>
          <w:sz w:val="20"/>
          <w:szCs w:val="20"/>
          <w:color w:val="auto"/>
        </w:rPr>
      </w:pPr>
    </w:p>
    <w:p>
      <w:pPr>
        <w:sectPr>
          <w:pgSz w:w="11900" w:h="16838" w:orient="portrait"/>
          <w:cols w:equalWidth="0" w:num="4">
            <w:col w:w="7620" w:space="300"/>
            <w:col w:w="380" w:space="720"/>
            <w:col w:w="720" w:space="720"/>
            <w:col w:w="780"/>
          </w:cols>
          <w:pgMar w:left="320" w:top="1397"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3"/>
          <w:szCs w:val="13"/>
          <w:b w:val="1"/>
          <w:bCs w:val="1"/>
          <w:color w:val="auto"/>
        </w:rPr>
        <w:t>Note:</w:t>
      </w:r>
    </w:p>
    <w:p>
      <w:pPr>
        <w:spacing w:after="0" w:line="20" w:lineRule="exact"/>
        <w:rPr>
          <w:sz w:val="20"/>
          <w:szCs w:val="20"/>
          <w:color w:val="auto"/>
        </w:rPr>
      </w:pPr>
      <w:r>
        <w:rPr>
          <w:sz w:val="20"/>
          <w:szCs w:val="20"/>
          <w:color w:val="auto"/>
        </w:rPr>
        <w:br w:type="column"/>
      </w:r>
    </w:p>
    <w:p>
      <w:pPr>
        <w:ind w:right="3620" w:hanging="100"/>
        <w:spacing w:after="0" w:line="278" w:lineRule="auto"/>
        <w:rPr>
          <w:sz w:val="20"/>
          <w:szCs w:val="20"/>
          <w:color w:val="auto"/>
        </w:rPr>
      </w:pPr>
      <w:r>
        <w:rPr>
          <w:rFonts w:ascii="Times New Roman" w:cs="Times New Roman" w:eastAsia="Times New Roman" w:hAnsi="Times New Roman"/>
          <w:sz w:val="13"/>
          <w:szCs w:val="13"/>
          <w:color w:val="auto"/>
        </w:rPr>
        <w:t>In their discretion, the proxies are authorized to vote upon such other business as may properly come before the Annual Meeting and adjournments or postponements thereof.</w:t>
      </w:r>
    </w:p>
    <w:p>
      <w:pPr>
        <w:spacing w:after="0" w:line="55" w:lineRule="exact"/>
        <w:rPr>
          <w:sz w:val="20"/>
          <w:szCs w:val="20"/>
          <w:color w:val="auto"/>
        </w:rPr>
      </w:pPr>
    </w:p>
    <w:p>
      <w:pPr>
        <w:sectPr>
          <w:pgSz w:w="11900" w:h="16838" w:orient="portrait"/>
          <w:cols w:equalWidth="0" w:num="2">
            <w:col w:w="420" w:space="180"/>
            <w:col w:w="10640"/>
          </w:cols>
          <w:pgMar w:left="320" w:top="1397" w:right="339" w:bottom="1440" w:gutter="0" w:footer="0" w:header="0"/>
          <w:type w:val="continuous"/>
        </w:sectPr>
      </w:pP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Please indicate if you plan to attend this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YES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NO</w:t>
      </w:r>
    </w:p>
    <w:p>
      <w:pPr>
        <w:spacing w:after="0" w:line="24" w:lineRule="exact"/>
        <w:rPr>
          <w:sz w:val="20"/>
          <w:szCs w:val="20"/>
          <w:color w:val="auto"/>
        </w:rPr>
      </w:pPr>
    </w:p>
    <w:p>
      <w:pPr>
        <w:sectPr>
          <w:pgSz w:w="11900" w:h="16838" w:orient="portrait"/>
          <w:cols w:equalWidth="0" w:num="3">
            <w:col w:w="3600" w:space="720"/>
            <w:col w:w="280" w:space="720"/>
            <w:col w:w="5920"/>
          </w:cols>
          <w:pgMar w:left="320" w:top="1397" w:right="339" w:bottom="1440" w:gutter="0" w:footer="0" w:header="0"/>
          <w:type w:val="continuous"/>
        </w:sectPr>
      </w:pPr>
    </w:p>
    <w:p>
      <w:pPr>
        <w:ind w:left="4360"/>
        <w:spacing w:after="0"/>
        <w:rPr>
          <w:sz w:val="20"/>
          <w:szCs w:val="20"/>
          <w:color w:val="auto"/>
        </w:rPr>
      </w:pPr>
      <w:r>
        <w:rPr>
          <w:rFonts w:ascii="Wingdings" w:cs="Wingdings" w:eastAsia="Wingdings" w:hAnsi="Wingdings"/>
          <w:sz w:val="17"/>
          <w:szCs w:val="17"/>
          <w:b w:val="1"/>
          <w:bCs w:val="1"/>
          <w:color w:val="auto"/>
          <w:highlight w:val="black"/>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Wingdings" w:cs="Wingdings" w:eastAsia="Wingdings" w:hAnsi="Wingdings"/>
          <w:sz w:val="17"/>
          <w:szCs w:val="17"/>
          <w:b w:val="1"/>
          <w:bCs w:val="1"/>
          <w:color w:val="auto"/>
          <w:highlight w:val="black"/>
        </w:rPr>
        <w:t></w:t>
      </w:r>
    </w:p>
    <w:p>
      <w:pPr>
        <w:spacing w:after="0" w:line="154" w:lineRule="exact"/>
        <w:rPr>
          <w:sz w:val="20"/>
          <w:szCs w:val="20"/>
          <w:color w:val="auto"/>
        </w:rPr>
      </w:pPr>
    </w:p>
    <w:p>
      <w:pPr>
        <w:sectPr>
          <w:pgSz w:w="11900" w:h="16838" w:orient="portrait"/>
          <w:cols w:equalWidth="0" w:num="2">
            <w:col w:w="4620" w:space="720"/>
            <w:col w:w="5900"/>
          </w:cols>
          <w:pgMar w:left="320" w:top="1397"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3"/>
          <w:szCs w:val="13"/>
          <w:color w:val="auto"/>
        </w:rPr>
        <w:t>Please sign exactly as your name(s) appear(s) hereon. When signing as attorney, executor, administrator, or other fiduciary, please give full title as such.</w:t>
      </w:r>
    </w:p>
    <w:p>
      <w:pPr>
        <w:spacing w:after="0" w:line="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80010</wp:posOffset>
            </wp:positionV>
            <wp:extent cx="34290" cy="274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27432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398"/>
        </w:trPr>
        <w:tc>
          <w:tcPr>
            <w:tcW w:w="400" w:type="dxa"/>
            <w:vAlign w:val="bottom"/>
            <w:tcBorders>
              <w:right w:val="single" w:sz="8" w:color="auto"/>
            </w:tcBorders>
          </w:tcPr>
          <w:p>
            <w:pPr>
              <w:spacing w:after="0"/>
              <w:rPr>
                <w:sz w:val="24"/>
                <w:szCs w:val="24"/>
                <w:color w:val="auto"/>
              </w:rPr>
            </w:pPr>
          </w:p>
        </w:tc>
        <w:tc>
          <w:tcPr>
            <w:tcW w:w="2700" w:type="dxa"/>
            <w:vAlign w:val="bottom"/>
            <w:tcBorders>
              <w:top w:val="single" w:sz="8" w:color="auto"/>
              <w:bottom w:val="single" w:sz="8" w:color="auto"/>
              <w:right w:val="single" w:sz="8" w:color="auto"/>
            </w:tcBorders>
          </w:tcPr>
          <w:p>
            <w:pPr>
              <w:spacing w:after="0"/>
              <w:rPr>
                <w:sz w:val="24"/>
                <w:szCs w:val="24"/>
                <w:color w:val="auto"/>
              </w:rPr>
            </w:pPr>
          </w:p>
        </w:tc>
        <w:tc>
          <w:tcPr>
            <w:tcW w:w="1360" w:type="dxa"/>
            <w:vAlign w:val="bottom"/>
            <w:tcBorders>
              <w:top w:val="single" w:sz="8" w:color="auto"/>
              <w:bottom w:val="single" w:sz="8" w:color="auto"/>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370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r>
      <w:tr>
        <w:trPr>
          <w:trHeight w:val="112"/>
        </w:trPr>
        <w:tc>
          <w:tcPr>
            <w:tcW w:w="400" w:type="dxa"/>
            <w:vAlign w:val="bottom"/>
          </w:tcPr>
          <w:p>
            <w:pPr>
              <w:spacing w:after="0"/>
              <w:rPr>
                <w:sz w:val="9"/>
                <w:szCs w:val="9"/>
                <w:color w:val="auto"/>
              </w:rPr>
            </w:pPr>
          </w:p>
        </w:tc>
        <w:tc>
          <w:tcPr>
            <w:tcW w:w="2700" w:type="dxa"/>
            <w:vAlign w:val="bottom"/>
          </w:tcPr>
          <w:p>
            <w:pPr>
              <w:ind w:left="80"/>
              <w:spacing w:after="0" w:line="113" w:lineRule="exact"/>
              <w:rPr>
                <w:sz w:val="20"/>
                <w:szCs w:val="20"/>
                <w:color w:val="auto"/>
              </w:rPr>
            </w:pPr>
            <w:r>
              <w:rPr>
                <w:rFonts w:ascii="Times New Roman" w:cs="Times New Roman" w:eastAsia="Times New Roman" w:hAnsi="Times New Roman"/>
                <w:sz w:val="13"/>
                <w:szCs w:val="13"/>
                <w:color w:val="auto"/>
              </w:rPr>
              <w:t>Signature</w:t>
            </w:r>
          </w:p>
        </w:tc>
        <w:tc>
          <w:tcPr>
            <w:tcW w:w="1360" w:type="dxa"/>
            <w:vAlign w:val="bottom"/>
          </w:tcPr>
          <w:p>
            <w:pPr>
              <w:ind w:left="100"/>
              <w:spacing w:after="0" w:line="113" w:lineRule="exact"/>
              <w:rPr>
                <w:sz w:val="20"/>
                <w:szCs w:val="20"/>
                <w:color w:val="auto"/>
              </w:rPr>
            </w:pPr>
            <w:r>
              <w:rPr>
                <w:rFonts w:ascii="Times New Roman" w:cs="Times New Roman" w:eastAsia="Times New Roman" w:hAnsi="Times New Roman"/>
                <w:sz w:val="13"/>
                <w:szCs w:val="13"/>
                <w:color w:val="auto"/>
              </w:rPr>
              <w:t>Date</w:t>
            </w:r>
          </w:p>
        </w:tc>
        <w:tc>
          <w:tcPr>
            <w:tcW w:w="1020" w:type="dxa"/>
            <w:vAlign w:val="bottom"/>
          </w:tcPr>
          <w:p>
            <w:pPr>
              <w:spacing w:after="0"/>
              <w:rPr>
                <w:sz w:val="9"/>
                <w:szCs w:val="9"/>
                <w:color w:val="auto"/>
              </w:rPr>
            </w:pPr>
          </w:p>
        </w:tc>
        <w:tc>
          <w:tcPr>
            <w:tcW w:w="3700" w:type="dxa"/>
            <w:vAlign w:val="bottom"/>
          </w:tcPr>
          <w:p>
            <w:pPr>
              <w:ind w:left="100"/>
              <w:spacing w:after="0" w:line="113" w:lineRule="exact"/>
              <w:rPr>
                <w:sz w:val="20"/>
                <w:szCs w:val="20"/>
                <w:color w:val="auto"/>
              </w:rPr>
            </w:pPr>
            <w:r>
              <w:rPr>
                <w:rFonts w:ascii="Times New Roman" w:cs="Times New Roman" w:eastAsia="Times New Roman" w:hAnsi="Times New Roman"/>
                <w:sz w:val="13"/>
                <w:szCs w:val="13"/>
                <w:color w:val="auto"/>
              </w:rPr>
              <w:t>Signature (Joint Owners)</w:t>
            </w:r>
          </w:p>
        </w:tc>
        <w:tc>
          <w:tcPr>
            <w:tcW w:w="2060" w:type="dxa"/>
            <w:vAlign w:val="bottom"/>
            <w:gridSpan w:val="2"/>
          </w:tcPr>
          <w:p>
            <w:pPr>
              <w:ind w:left="80"/>
              <w:spacing w:after="0" w:line="113" w:lineRule="exact"/>
              <w:rPr>
                <w:sz w:val="20"/>
                <w:szCs w:val="20"/>
                <w:color w:val="auto"/>
              </w:rPr>
            </w:pPr>
            <w:r>
              <w:rPr>
                <w:rFonts w:ascii="Times New Roman" w:cs="Times New Roman" w:eastAsia="Times New Roman" w:hAnsi="Times New Roman"/>
                <w:sz w:val="13"/>
                <w:szCs w:val="13"/>
                <w:color w:val="auto"/>
              </w:rPr>
              <w:t>Date</w:t>
            </w:r>
          </w:p>
        </w:tc>
      </w:tr>
      <w:tr>
        <w:trPr>
          <w:trHeight w:val="174"/>
        </w:trPr>
        <w:tc>
          <w:tcPr>
            <w:tcW w:w="400" w:type="dxa"/>
            <w:vAlign w:val="bottom"/>
          </w:tcPr>
          <w:p>
            <w:pPr>
              <w:spacing w:after="0"/>
              <w:rPr>
                <w:sz w:val="15"/>
                <w:szCs w:val="15"/>
                <w:color w:val="auto"/>
              </w:rPr>
            </w:pPr>
          </w:p>
        </w:tc>
        <w:tc>
          <w:tcPr>
            <w:tcW w:w="27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[PLEASE SIGN WITHIN BOX]</w:t>
            </w: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898"/>
        </w:trPr>
        <w:tc>
          <w:tcPr>
            <w:tcW w:w="4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type w:val="continuous"/>
        </w:sectPr>
      </w:pPr>
    </w:p>
    <w:bookmarkStart w:id="39" w:name="page40"/>
    <w:bookmarkEnd w:id="39"/>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w:t>
      </w:r>
      <w:r>
        <w:rPr>
          <w:rFonts w:ascii="Times New Roman" w:cs="Times New Roman" w:eastAsia="Times New Roman" w:hAnsi="Times New Roman"/>
          <w:sz w:val="18"/>
          <w:szCs w:val="18"/>
          <w:color w:val="auto"/>
        </w:rPr>
        <w:t>The Notice of Annual Meeting and Proxy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Annual Report on Form N-CSR and Semi-Annual Report on Form N-CSR are available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DETACH AND RETURN THIS PORTION ONLY</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 OF</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AUGUST 13, 2026</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FOR SHARES OF PREFERRED STOCK</w:t>
      </w:r>
    </w:p>
    <w:p>
      <w:pPr>
        <w:spacing w:after="0" w:line="200" w:lineRule="exact"/>
        <w:rPr>
          <w:sz w:val="20"/>
          <w:szCs w:val="20"/>
          <w:color w:val="auto"/>
        </w:rPr>
      </w:pP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revoking all prior proxies, hereby appoints Kyle Spina and Tod K. Reichert, as proxies, each with the power to appoint his substitute, and hereby authorizes each of them to represent and vote, as designated on the reverse side, all shares of Preferred Stock, of OFS Credit Company, Inc. held of record by the undersigned on June 18, 2026 at the Annual Meeting of Stockholders to be held on August 13, 2026 at 10:00 a.m., local time, at 222 West Adams Street, Suite 1850, Chicago, Illinois 60606, and any adjournments or postponements thereof. The undersigned hereby directs Messrs. Spina and Reichert to vote in accordance with their best judgment on any matters which may properly come before the Annual Meeting, all as indicated in the Notice of Annual Meeting, receipt of which is hereby acknowledged, and to act on the matters set forth in such Notice as specified by the undersigned.</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THIS PROXY, WHEN PROPERLY EXECUTED, WILL BE VOTED AS DIRECTED. IF NO DIRECTION IS GIVEN WITH RESPECT TO A PARTICULAR PROPOSAL, THIS PROXY WILL BE VOTED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ELECTION OF THE LISTED NOMINEE OF OUR BOARD OF DIRECTORS UNDER PROPOSAL 1 AND, IN THE DISCRETION OF MESSRS. SPINA AND REICHERT, ON ANY OTHER ITEMS THAT MAY PROPERLY COME BEFORE THE ANNUAL MEETING. ATTENDANCE OF THE UNDERSIGNED IN PERSON AT THE ANNUAL MEETING OR AT ANY ADJOURNMENT OR POSTPONEMENT THEREOF WILL NOT BE DEEMED TO REVOKE THE PROXY UNLESS THE UNDERSIGNED REVOKES THIS PROXY IN WRITING.</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ind w:left="1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267970</wp:posOffset>
            </wp:positionH>
            <wp:positionV relativeFrom="page">
              <wp:posOffset>568960</wp:posOffset>
            </wp:positionV>
            <wp:extent cx="5700395" cy="6343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00395" cy="634365"/>
                    </a:xfrm>
                    <a:prstGeom prst="rect">
                      <a:avLst/>
                    </a:prstGeom>
                    <a:noFill/>
                  </pic:spPr>
                </pic:pic>
              </a:graphicData>
            </a:graphic>
          </wp:anchor>
        </w:drawing>
        <w:t>OFS CREDIT COMPANY, INC.</w:t>
      </w:r>
    </w:p>
    <w:p>
      <w:pPr>
        <w:ind w:left="100"/>
        <w:spacing w:after="0" w:line="229" w:lineRule="auto"/>
        <w:rPr>
          <w:sz w:val="20"/>
          <w:szCs w:val="20"/>
          <w:color w:val="auto"/>
        </w:rPr>
      </w:pPr>
      <w:r>
        <w:rPr>
          <w:rFonts w:ascii="Times New Roman" w:cs="Times New Roman" w:eastAsia="Times New Roman" w:hAnsi="Times New Roman"/>
          <w:sz w:val="14"/>
          <w:szCs w:val="14"/>
          <w:b w:val="1"/>
          <w:bCs w:val="1"/>
          <w:color w:val="auto"/>
        </w:rPr>
        <w:t>222 WEST ADAMS STREET</w:t>
      </w:r>
    </w:p>
    <w:p>
      <w:pPr>
        <w:ind w:left="100"/>
        <w:spacing w:after="0" w:line="221" w:lineRule="auto"/>
        <w:rPr>
          <w:sz w:val="20"/>
          <w:szCs w:val="20"/>
          <w:color w:val="auto"/>
        </w:rPr>
      </w:pPr>
      <w:r>
        <w:rPr>
          <w:rFonts w:ascii="Times New Roman" w:cs="Times New Roman" w:eastAsia="Times New Roman" w:hAnsi="Times New Roman"/>
          <w:sz w:val="14"/>
          <w:szCs w:val="14"/>
          <w:b w:val="1"/>
          <w:bCs w:val="1"/>
          <w:color w:val="auto"/>
        </w:rPr>
        <w:t>SUITE 1850</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CHICAGO, IL 60606</w:t>
      </w:r>
    </w:p>
    <w:p>
      <w:pPr>
        <w:spacing w:after="0" w:line="3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b w:val="1"/>
          <w:bCs w:val="1"/>
          <w:color w:val="auto"/>
        </w:rPr>
        <w:t xml:space="preserve">VOTE BY INTERNET – </w:t>
      </w:r>
      <w:r>
        <w:rPr>
          <w:rFonts w:ascii="Times New Roman" w:cs="Times New Roman" w:eastAsia="Times New Roman" w:hAnsi="Times New Roman"/>
          <w:sz w:val="13"/>
          <w:szCs w:val="13"/>
          <w:b w:val="1"/>
          <w:bCs w:val="1"/>
          <w:u w:val="single" w:color="auto"/>
          <w:color w:val="auto"/>
        </w:rPr>
        <w:t>www.proxyvote.</w:t>
      </w:r>
      <w:r>
        <w:rPr>
          <w:rFonts w:ascii="Times New Roman" w:cs="Times New Roman" w:eastAsia="Times New Roman" w:hAnsi="Times New Roman"/>
          <w:sz w:val="13"/>
          <w:szCs w:val="13"/>
          <w:b w:val="1"/>
          <w:bCs w:val="1"/>
          <w:color w:val="auto"/>
        </w:rPr>
        <w:t>com or scan the QR Barcode above</w:t>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Use the Internet to transmit your voting instructions and for electronic delivery of information up until</w:t>
      </w:r>
    </w:p>
    <w:p>
      <w:pPr>
        <w:ind w:left="5540"/>
        <w:spacing w:after="0"/>
        <w:rPr>
          <w:sz w:val="20"/>
          <w:szCs w:val="20"/>
          <w:color w:val="auto"/>
        </w:rPr>
      </w:pPr>
      <w:r>
        <w:rPr>
          <w:rFonts w:ascii="Times New Roman" w:cs="Times New Roman" w:eastAsia="Times New Roman" w:hAnsi="Times New Roman"/>
          <w:sz w:val="13"/>
          <w:szCs w:val="13"/>
          <w:color w:val="auto"/>
        </w:rPr>
        <w:t>11:59 P.M. Eastern Time on August 12, 2026. Have your proxy card in hand when you access the web</w:t>
      </w:r>
    </w:p>
    <w:p>
      <w:pPr>
        <w:ind w:left="5540"/>
        <w:spacing w:after="0"/>
        <w:rPr>
          <w:sz w:val="20"/>
          <w:szCs w:val="20"/>
          <w:color w:val="auto"/>
        </w:rPr>
      </w:pPr>
      <w:r>
        <w:rPr>
          <w:rFonts w:ascii="Times New Roman" w:cs="Times New Roman" w:eastAsia="Times New Roman" w:hAnsi="Times New Roman"/>
          <w:sz w:val="13"/>
          <w:szCs w:val="13"/>
          <w:color w:val="auto"/>
        </w:rPr>
        <w:t>site and follow the instructions to obtain your records and to create an electronic voting instruction</w:t>
      </w:r>
    </w:p>
    <w:p>
      <w:pPr>
        <w:ind w:left="5540"/>
        <w:spacing w:after="0"/>
        <w:rPr>
          <w:sz w:val="20"/>
          <w:szCs w:val="20"/>
          <w:color w:val="auto"/>
        </w:rPr>
      </w:pPr>
      <w:r>
        <w:rPr>
          <w:rFonts w:ascii="Times New Roman" w:cs="Times New Roman" w:eastAsia="Times New Roman" w:hAnsi="Times New Roman"/>
          <w:sz w:val="13"/>
          <w:szCs w:val="13"/>
          <w:color w:val="auto"/>
        </w:rPr>
        <w:t>form.</w:t>
      </w:r>
    </w:p>
    <w:p>
      <w:pPr>
        <w:spacing w:after="0" w:line="1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b w:val="1"/>
          <w:bCs w:val="1"/>
          <w:color w:val="auto"/>
        </w:rPr>
        <w:t>ELECTRONIC DELIVERY OF FUTURE PROXY MATERIALS</w:t>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If you would like to reduce the costs incurred by our company in mailing proxy materials, you can</w:t>
      </w:r>
    </w:p>
    <w:p>
      <w:pPr>
        <w:ind w:left="5540"/>
        <w:spacing w:after="0"/>
        <w:rPr>
          <w:sz w:val="20"/>
          <w:szCs w:val="20"/>
          <w:color w:val="auto"/>
        </w:rPr>
      </w:pPr>
      <w:r>
        <w:rPr>
          <w:rFonts w:ascii="Times New Roman" w:cs="Times New Roman" w:eastAsia="Times New Roman" w:hAnsi="Times New Roman"/>
          <w:sz w:val="13"/>
          <w:szCs w:val="13"/>
          <w:color w:val="auto"/>
        </w:rPr>
        <w:t>consent to receiving all future proxy statements, proxy cards and annual reports electronically via e-</w:t>
      </w:r>
    </w:p>
    <w:p>
      <w:pPr>
        <w:ind w:left="5540"/>
        <w:spacing w:after="0"/>
        <w:rPr>
          <w:sz w:val="20"/>
          <w:szCs w:val="20"/>
          <w:color w:val="auto"/>
        </w:rPr>
      </w:pPr>
      <w:r>
        <w:rPr>
          <w:rFonts w:ascii="Times New Roman" w:cs="Times New Roman" w:eastAsia="Times New Roman" w:hAnsi="Times New Roman"/>
          <w:sz w:val="13"/>
          <w:szCs w:val="13"/>
          <w:color w:val="auto"/>
        </w:rPr>
        <w:t>mail or the Internet. To sign up for electronic delivery, please follow the instructions above to vote</w:t>
      </w:r>
    </w:p>
    <w:p>
      <w:pPr>
        <w:ind w:left="5540"/>
        <w:spacing w:after="0"/>
        <w:rPr>
          <w:sz w:val="20"/>
          <w:szCs w:val="20"/>
          <w:color w:val="auto"/>
        </w:rPr>
      </w:pPr>
      <w:r>
        <w:rPr>
          <w:rFonts w:ascii="Times New Roman" w:cs="Times New Roman" w:eastAsia="Times New Roman" w:hAnsi="Times New Roman"/>
          <w:sz w:val="13"/>
          <w:szCs w:val="13"/>
          <w:color w:val="auto"/>
        </w:rPr>
        <w:t>using the Internet and, when prompted, indicate that you agree to receive or access proxy materials</w:t>
      </w:r>
    </w:p>
    <w:p>
      <w:pPr>
        <w:ind w:left="5540"/>
        <w:spacing w:after="0"/>
        <w:rPr>
          <w:sz w:val="20"/>
          <w:szCs w:val="20"/>
          <w:color w:val="auto"/>
        </w:rPr>
      </w:pPr>
      <w:r>
        <w:rPr>
          <w:rFonts w:ascii="Times New Roman" w:cs="Times New Roman" w:eastAsia="Times New Roman" w:hAnsi="Times New Roman"/>
          <w:sz w:val="13"/>
          <w:szCs w:val="13"/>
          <w:color w:val="auto"/>
        </w:rPr>
        <w:t>electronically in future years.</w:t>
      </w:r>
    </w:p>
    <w:p>
      <w:pPr>
        <w:spacing w:after="0" w:line="1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b w:val="1"/>
          <w:bCs w:val="1"/>
          <w:color w:val="auto"/>
        </w:rPr>
        <w:t>VOTE BY PHONE - 1-[800-690-6903]</w:t>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Use any touch-tone telephone to transmit your voting instructions up until 11:59 P.M. Eastern Time on</w:t>
      </w:r>
    </w:p>
    <w:p>
      <w:pPr>
        <w:ind w:left="5540"/>
        <w:spacing w:after="0"/>
        <w:rPr>
          <w:sz w:val="20"/>
          <w:szCs w:val="20"/>
          <w:color w:val="auto"/>
        </w:rPr>
      </w:pPr>
      <w:r>
        <w:rPr>
          <w:rFonts w:ascii="Times New Roman" w:cs="Times New Roman" w:eastAsia="Times New Roman" w:hAnsi="Times New Roman"/>
          <w:sz w:val="13"/>
          <w:szCs w:val="13"/>
          <w:color w:val="auto"/>
        </w:rPr>
        <w:t>August 12, 2026. Have your proxy card in hand when you call and then follow the instructions.</w:t>
      </w:r>
    </w:p>
    <w:p>
      <w:pPr>
        <w:spacing w:after="0" w:line="1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b w:val="1"/>
          <w:bCs w:val="1"/>
          <w:color w:val="auto"/>
        </w:rPr>
        <w:t>VOTE BY MAIL</w:t>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Mark, sign and date your proxy card and return it in the postage-paid envelope we have provided or</w:t>
      </w:r>
    </w:p>
    <w:p>
      <w:pPr>
        <w:ind w:left="5540"/>
        <w:spacing w:after="0"/>
        <w:rPr>
          <w:sz w:val="20"/>
          <w:szCs w:val="20"/>
          <w:color w:val="auto"/>
        </w:rPr>
      </w:pPr>
      <w:r>
        <w:rPr>
          <w:rFonts w:ascii="Times New Roman" w:cs="Times New Roman" w:eastAsia="Times New Roman" w:hAnsi="Times New Roman"/>
          <w:sz w:val="13"/>
          <w:szCs w:val="13"/>
          <w:color w:val="auto"/>
        </w:rPr>
        <w:t>return it to Vote Processing, c/o Broadridge, 51 Mercedes Way, Edgewood, NY 11717.</w:t>
      </w:r>
    </w:p>
    <w:p>
      <w:pPr>
        <w:spacing w:after="0" w:line="187" w:lineRule="exact"/>
        <w:rPr>
          <w:sz w:val="20"/>
          <w:szCs w:val="20"/>
          <w:color w:val="auto"/>
        </w:rPr>
      </w:pPr>
    </w:p>
    <w:p>
      <w:pPr>
        <w:ind w:left="120"/>
        <w:spacing w:after="0" w:line="161" w:lineRule="exact"/>
        <w:tabs>
          <w:tab w:leader="none" w:pos="8000" w:val="left"/>
        </w:tabs>
        <w:rPr>
          <w:sz w:val="20"/>
          <w:szCs w:val="20"/>
          <w:color w:val="auto"/>
        </w:rPr>
      </w:pPr>
      <w:r>
        <w:rPr>
          <w:rFonts w:ascii="Times New Roman" w:cs="Times New Roman" w:eastAsia="Times New Roman" w:hAnsi="Times New Roman"/>
          <w:sz w:val="14"/>
          <w:szCs w:val="14"/>
          <w:b w:val="1"/>
          <w:bCs w:val="1"/>
          <w:color w:val="auto"/>
        </w:rPr>
        <w:t xml:space="preserve">TO VOTE, MARK BLOCKS BELOW IN BLUE OR BLACK INK AS FOLLOWS: </w:t>
      </w:r>
      <w:r>
        <w:rPr>
          <w:rFonts w:ascii="MS PGothic" w:cs="MS PGothic" w:eastAsia="MS PGothic" w:hAnsi="MS PGothic"/>
          <w:sz w:val="14"/>
          <w:szCs w:val="14"/>
          <w:color w:val="auto"/>
          <w:highlight w:val="black"/>
        </w:rPr>
        <w:t>☒</w:t>
      </w:r>
      <w:r>
        <w:rPr>
          <w:sz w:val="20"/>
          <w:szCs w:val="20"/>
          <w:color w:val="auto"/>
        </w:rPr>
        <w:tab/>
      </w:r>
      <w:r>
        <w:rPr>
          <w:rFonts w:ascii="Times New Roman" w:cs="Times New Roman" w:eastAsia="Times New Roman" w:hAnsi="Times New Roman"/>
          <w:sz w:val="14"/>
          <w:szCs w:val="14"/>
          <w:b w:val="1"/>
          <w:bCs w:val="1"/>
          <w:color w:val="auto"/>
        </w:rPr>
        <w:t>KEEP THIS PORTION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DETACH AND RETURN THIS PORTION ONLY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CARD IS VALID ONLY WHEN SIGNED AND DATED</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1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 xml:space="preserve">THE BOARD OF DIRECTORS RECOMMENDS YOU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THE</w:t>
      </w:r>
    </w:p>
    <w:p>
      <w:pPr>
        <w:spacing w:after="0" w:line="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LISTED DIRECTOR NOMINEE.</w:t>
      </w:r>
    </w:p>
    <w:p>
      <w:pPr>
        <w:spacing w:after="0" w:line="6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Election of Director</w:t>
      </w:r>
    </w:p>
    <w:p>
      <w:pPr>
        <w:spacing w:after="0" w:line="102" w:lineRule="exact"/>
        <w:rPr>
          <w:sz w:val="20"/>
          <w:szCs w:val="20"/>
          <w:color w:val="auto"/>
        </w:rPr>
      </w:pPr>
    </w:p>
    <w:tbl>
      <w:tblPr>
        <w:tblLayout w:type="fixed"/>
        <w:tblInd w:w="100" w:type="dxa"/>
        <w:tblCellMar>
          <w:top w:w="0" w:type="dxa"/>
          <w:left w:w="0" w:type="dxa"/>
          <w:bottom w:w="0" w:type="dxa"/>
          <w:right w:w="0" w:type="dxa"/>
        </w:tblCellMar>
      </w:tblPr>
      <w:tr>
        <w:trPr>
          <w:trHeight w:val="149"/>
        </w:trPr>
        <w:tc>
          <w:tcPr>
            <w:tcW w:w="4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  The election of the following person (except as marked to the</w:t>
            </w:r>
          </w:p>
        </w:tc>
        <w:tc>
          <w:tcPr>
            <w:tcW w:w="100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FOR</w:t>
            </w:r>
          </w:p>
        </w:tc>
        <w:tc>
          <w:tcPr>
            <w:tcW w:w="1420" w:type="dxa"/>
            <w:vAlign w:val="bottom"/>
          </w:tcPr>
          <w:p>
            <w:pPr>
              <w:jc w:val="center"/>
              <w:ind w:left="113"/>
              <w:spacing w:after="0"/>
              <w:rPr>
                <w:sz w:val="20"/>
                <w:szCs w:val="20"/>
                <w:color w:val="auto"/>
              </w:rPr>
            </w:pPr>
            <w:r>
              <w:rPr>
                <w:rFonts w:ascii="Times New Roman" w:cs="Times New Roman" w:eastAsia="Times New Roman" w:hAnsi="Times New Roman"/>
                <w:sz w:val="13"/>
                <w:szCs w:val="13"/>
                <w:b w:val="1"/>
                <w:bCs w:val="1"/>
                <w:color w:val="auto"/>
              </w:rPr>
              <w:t>WITHHOLD FROM</w:t>
            </w:r>
          </w:p>
        </w:tc>
      </w:tr>
      <w:tr>
        <w:trPr>
          <w:trHeight w:val="149"/>
        </w:trPr>
        <w:tc>
          <w:tcPr>
            <w:tcW w:w="4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contrary) who will serve as a Class II director of OFS Credit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NOMINEE</w:t>
            </w:r>
          </w:p>
        </w:tc>
        <w:tc>
          <w:tcPr>
            <w:tcW w:w="1420" w:type="dxa"/>
            <w:vAlign w:val="bottom"/>
          </w:tcPr>
          <w:p>
            <w:pPr>
              <w:jc w:val="center"/>
              <w:ind w:left="133"/>
              <w:spacing w:after="0"/>
              <w:rPr>
                <w:sz w:val="20"/>
                <w:szCs w:val="20"/>
                <w:color w:val="auto"/>
              </w:rPr>
            </w:pPr>
            <w:r>
              <w:rPr>
                <w:rFonts w:ascii="Times New Roman" w:cs="Times New Roman" w:eastAsia="Times New Roman" w:hAnsi="Times New Roman"/>
                <w:sz w:val="13"/>
                <w:szCs w:val="13"/>
                <w:b w:val="1"/>
                <w:bCs w:val="1"/>
                <w:color w:val="auto"/>
              </w:rPr>
              <w:t>NOMINEE</w:t>
            </w:r>
          </w:p>
        </w:tc>
      </w:tr>
      <w:tr>
        <w:trPr>
          <w:trHeight w:val="148"/>
        </w:trPr>
        <w:tc>
          <w:tcPr>
            <w:tcW w:w="4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Company, Inc. until 2029, or until her successor is elected and</w:t>
            </w:r>
          </w:p>
        </w:tc>
        <w:tc>
          <w:tcPr>
            <w:tcW w:w="100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78"/>
        </w:trPr>
        <w:tc>
          <w:tcPr>
            <w:tcW w:w="4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qualified</w:t>
            </w:r>
            <w:r>
              <w:rPr>
                <w:rFonts w:ascii="Times New Roman" w:cs="Times New Roman" w:eastAsia="Times New Roman" w:hAnsi="Times New Roman"/>
                <w:sz w:val="13"/>
                <w:szCs w:val="13"/>
                <w:color w:val="auto"/>
              </w:rPr>
              <w:t>.</w:t>
            </w: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459"/>
        </w:trPr>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Nominee: Class II Director</w:t>
            </w: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7"/>
        </w:trPr>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01) Romita Shetty</w:t>
            </w:r>
          </w:p>
        </w:tc>
        <w:tc>
          <w:tcPr>
            <w:tcW w:w="1000" w:type="dxa"/>
            <w:vAlign w:val="bottom"/>
          </w:tcPr>
          <w:p>
            <w:pPr>
              <w:jc w:val="center"/>
              <w:spacing w:after="0"/>
              <w:rPr>
                <w:sz w:val="20"/>
                <w:szCs w:val="20"/>
                <w:color w:val="auto"/>
              </w:rPr>
            </w:pPr>
            <w:r>
              <w:rPr>
                <w:rFonts w:ascii="Wingdings" w:cs="Wingdings" w:eastAsia="Wingdings" w:hAnsi="Wingdings"/>
                <w:sz w:val="13"/>
                <w:szCs w:val="13"/>
                <w:b w:val="1"/>
                <w:bCs w:val="1"/>
                <w:color w:val="auto"/>
                <w:highlight w:val="black"/>
              </w:rPr>
              <w:t></w:t>
            </w:r>
          </w:p>
        </w:tc>
        <w:tc>
          <w:tcPr>
            <w:tcW w:w="1420" w:type="dxa"/>
            <w:vAlign w:val="bottom"/>
          </w:tcPr>
          <w:p>
            <w:pPr>
              <w:jc w:val="center"/>
              <w:ind w:left="153"/>
              <w:spacing w:after="0"/>
              <w:rPr>
                <w:sz w:val="20"/>
                <w:szCs w:val="20"/>
                <w:color w:val="auto"/>
              </w:rPr>
            </w:pPr>
            <w:r>
              <w:rPr>
                <w:rFonts w:ascii="Wingdings" w:cs="Wingdings" w:eastAsia="Wingdings" w:hAnsi="Wingdings"/>
                <w:sz w:val="13"/>
                <w:szCs w:val="13"/>
                <w:b w:val="1"/>
                <w:bCs w:val="1"/>
                <w:color w:val="auto"/>
                <w:highlight w:val="black"/>
              </w:rPr>
              <w:t></w:t>
            </w:r>
          </w:p>
        </w:tc>
      </w:tr>
    </w:tbl>
    <w:p>
      <w:pPr>
        <w:spacing w:after="0" w:line="227" w:lineRule="exact"/>
        <w:rPr>
          <w:sz w:val="20"/>
          <w:szCs w:val="20"/>
          <w:color w:val="auto"/>
        </w:rPr>
      </w:pPr>
    </w:p>
    <w:p>
      <w:pPr>
        <w:ind w:left="600" w:right="3620" w:hanging="501"/>
        <w:spacing w:after="0" w:line="284" w:lineRule="auto"/>
        <w:rPr>
          <w:sz w:val="20"/>
          <w:szCs w:val="20"/>
          <w:color w:val="auto"/>
        </w:rPr>
      </w:pPr>
      <w:r>
        <w:rPr>
          <w:rFonts w:ascii="Times New Roman" w:cs="Times New Roman" w:eastAsia="Times New Roman" w:hAnsi="Times New Roman"/>
          <w:sz w:val="13"/>
          <w:szCs w:val="13"/>
          <w:b w:val="1"/>
          <w:bCs w:val="1"/>
          <w:color w:val="auto"/>
        </w:rPr>
        <w:t xml:space="preserve">Note: </w:t>
      </w:r>
      <w:r>
        <w:rPr>
          <w:rFonts w:ascii="Times New Roman" w:cs="Times New Roman" w:eastAsia="Times New Roman" w:hAnsi="Times New Roman"/>
          <w:sz w:val="13"/>
          <w:szCs w:val="13"/>
          <w:color w:val="auto"/>
        </w:rPr>
        <w:t>In their discretion, the proxies are authorized to vote upon such other business as may properly come before the Annual Meeting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adjournments or postponements thereof.</w:t>
      </w:r>
    </w:p>
    <w:p>
      <w:pPr>
        <w:spacing w:after="0" w:line="51" w:lineRule="exact"/>
        <w:rPr>
          <w:sz w:val="20"/>
          <w:szCs w:val="20"/>
          <w:color w:val="auto"/>
        </w:rPr>
      </w:pPr>
    </w:p>
    <w:p>
      <w:pPr>
        <w:ind w:left="100"/>
        <w:spacing w:after="0"/>
        <w:tabs>
          <w:tab w:leader="none" w:pos="4320" w:val="left"/>
          <w:tab w:leader="none" w:pos="5320" w:val="left"/>
        </w:tabs>
        <w:rPr>
          <w:sz w:val="20"/>
          <w:szCs w:val="20"/>
          <w:color w:val="auto"/>
        </w:rPr>
      </w:pPr>
      <w:r>
        <w:rPr>
          <w:rFonts w:ascii="Times New Roman" w:cs="Times New Roman" w:eastAsia="Times New Roman" w:hAnsi="Times New Roman"/>
          <w:sz w:val="13"/>
          <w:szCs w:val="13"/>
          <w:color w:val="auto"/>
        </w:rPr>
        <w:t>Please indicate if you plan to attend this meeting</w:t>
      </w:r>
      <w:r>
        <w:rPr>
          <w:sz w:val="20"/>
          <w:szCs w:val="20"/>
          <w:color w:val="auto"/>
        </w:rPr>
        <w:tab/>
      </w:r>
      <w:r>
        <w:rPr>
          <w:rFonts w:ascii="Times New Roman" w:cs="Times New Roman" w:eastAsia="Times New Roman" w:hAnsi="Times New Roman"/>
          <w:sz w:val="13"/>
          <w:szCs w:val="13"/>
          <w:b w:val="1"/>
          <w:bCs w:val="1"/>
          <w:color w:val="auto"/>
        </w:rPr>
        <w:t>YES</w:t>
      </w:r>
      <w:r>
        <w:rPr>
          <w:sz w:val="20"/>
          <w:szCs w:val="20"/>
          <w:color w:val="auto"/>
        </w:rPr>
        <w:tab/>
      </w:r>
      <w:r>
        <w:rPr>
          <w:rFonts w:ascii="Times New Roman" w:cs="Times New Roman" w:eastAsia="Times New Roman" w:hAnsi="Times New Roman"/>
          <w:sz w:val="13"/>
          <w:szCs w:val="13"/>
          <w:b w:val="1"/>
          <w:bCs w:val="1"/>
          <w:color w:val="auto"/>
        </w:rPr>
        <w:t>NO</w:t>
      </w:r>
    </w:p>
    <w:p>
      <w:pPr>
        <w:spacing w:after="0" w:line="14" w:lineRule="exact"/>
        <w:rPr>
          <w:sz w:val="20"/>
          <w:szCs w:val="20"/>
          <w:color w:val="auto"/>
        </w:rPr>
      </w:pPr>
    </w:p>
    <w:p>
      <w:pPr>
        <w:ind w:left="4380"/>
        <w:spacing w:after="0"/>
        <w:tabs>
          <w:tab w:leader="none" w:pos="5340" w:val="left"/>
        </w:tabs>
        <w:rPr>
          <w:sz w:val="20"/>
          <w:szCs w:val="20"/>
          <w:color w:val="auto"/>
        </w:rPr>
      </w:pPr>
      <w:r>
        <w:rPr>
          <w:rFonts w:ascii="Wingdings" w:cs="Wingdings" w:eastAsia="Wingdings" w:hAnsi="Wingdings"/>
          <w:sz w:val="18"/>
          <w:szCs w:val="18"/>
          <w:b w:val="1"/>
          <w:bCs w:val="1"/>
          <w:color w:val="auto"/>
          <w:highlight w:val="black"/>
        </w:rPr>
        <w:t></w:t>
      </w:r>
      <w:r>
        <w:rPr>
          <w:sz w:val="20"/>
          <w:szCs w:val="20"/>
          <w:color w:val="auto"/>
        </w:rPr>
        <w:tab/>
      </w:r>
      <w:r>
        <w:rPr>
          <w:rFonts w:ascii="Wingdings" w:cs="Wingdings" w:eastAsia="Wingdings" w:hAnsi="Wingdings"/>
          <w:sz w:val="18"/>
          <w:szCs w:val="18"/>
          <w:b w:val="1"/>
          <w:bCs w:val="1"/>
          <w:color w:val="auto"/>
          <w:highlight w:val="black"/>
        </w:rPr>
        <w:t></w:t>
      </w:r>
    </w:p>
    <w:p>
      <w:pPr>
        <w:spacing w:after="0" w:line="1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Please sign exactly as your name(s) appear(s) hereon. When signing as attorney, executor, administrator, or other fiduciary, please give full title as such.</w:t>
      </w:r>
    </w:p>
    <w:p>
      <w:pPr>
        <w:spacing w:after="0" w:line="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80010</wp:posOffset>
            </wp:positionV>
            <wp:extent cx="34290"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27432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398"/>
        </w:trPr>
        <w:tc>
          <w:tcPr>
            <w:tcW w:w="400" w:type="dxa"/>
            <w:vAlign w:val="bottom"/>
            <w:tcBorders>
              <w:right w:val="single" w:sz="8" w:color="auto"/>
            </w:tcBorders>
          </w:tcPr>
          <w:p>
            <w:pPr>
              <w:spacing w:after="0"/>
              <w:rPr>
                <w:sz w:val="24"/>
                <w:szCs w:val="24"/>
                <w:color w:val="auto"/>
              </w:rPr>
            </w:pPr>
          </w:p>
        </w:tc>
        <w:tc>
          <w:tcPr>
            <w:tcW w:w="2700" w:type="dxa"/>
            <w:vAlign w:val="bottom"/>
            <w:tcBorders>
              <w:top w:val="single" w:sz="8" w:color="auto"/>
              <w:bottom w:val="single" w:sz="8" w:color="auto"/>
              <w:right w:val="single" w:sz="8" w:color="auto"/>
            </w:tcBorders>
          </w:tcPr>
          <w:p>
            <w:pPr>
              <w:spacing w:after="0"/>
              <w:rPr>
                <w:sz w:val="24"/>
                <w:szCs w:val="24"/>
                <w:color w:val="auto"/>
              </w:rPr>
            </w:pPr>
          </w:p>
        </w:tc>
        <w:tc>
          <w:tcPr>
            <w:tcW w:w="1360" w:type="dxa"/>
            <w:vAlign w:val="bottom"/>
            <w:tcBorders>
              <w:top w:val="single" w:sz="8" w:color="auto"/>
              <w:bottom w:val="single" w:sz="8" w:color="auto"/>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370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r>
      <w:tr>
        <w:trPr>
          <w:trHeight w:val="112"/>
        </w:trPr>
        <w:tc>
          <w:tcPr>
            <w:tcW w:w="400" w:type="dxa"/>
            <w:vAlign w:val="bottom"/>
          </w:tcPr>
          <w:p>
            <w:pPr>
              <w:spacing w:after="0"/>
              <w:rPr>
                <w:sz w:val="9"/>
                <w:szCs w:val="9"/>
                <w:color w:val="auto"/>
              </w:rPr>
            </w:pPr>
          </w:p>
        </w:tc>
        <w:tc>
          <w:tcPr>
            <w:tcW w:w="2700" w:type="dxa"/>
            <w:vAlign w:val="bottom"/>
          </w:tcPr>
          <w:p>
            <w:pPr>
              <w:ind w:left="80"/>
              <w:spacing w:after="0" w:line="113" w:lineRule="exact"/>
              <w:rPr>
                <w:sz w:val="20"/>
                <w:szCs w:val="20"/>
                <w:color w:val="auto"/>
              </w:rPr>
            </w:pPr>
            <w:r>
              <w:rPr>
                <w:rFonts w:ascii="Times New Roman" w:cs="Times New Roman" w:eastAsia="Times New Roman" w:hAnsi="Times New Roman"/>
                <w:sz w:val="13"/>
                <w:szCs w:val="13"/>
                <w:color w:val="auto"/>
              </w:rPr>
              <w:t>Signature</w:t>
            </w:r>
          </w:p>
        </w:tc>
        <w:tc>
          <w:tcPr>
            <w:tcW w:w="1360" w:type="dxa"/>
            <w:vAlign w:val="bottom"/>
          </w:tcPr>
          <w:p>
            <w:pPr>
              <w:ind w:left="100"/>
              <w:spacing w:after="0" w:line="113" w:lineRule="exact"/>
              <w:rPr>
                <w:sz w:val="20"/>
                <w:szCs w:val="20"/>
                <w:color w:val="auto"/>
              </w:rPr>
            </w:pPr>
            <w:r>
              <w:rPr>
                <w:rFonts w:ascii="Times New Roman" w:cs="Times New Roman" w:eastAsia="Times New Roman" w:hAnsi="Times New Roman"/>
                <w:sz w:val="13"/>
                <w:szCs w:val="13"/>
                <w:color w:val="auto"/>
              </w:rPr>
              <w:t>Date</w:t>
            </w:r>
          </w:p>
        </w:tc>
        <w:tc>
          <w:tcPr>
            <w:tcW w:w="1020" w:type="dxa"/>
            <w:vAlign w:val="bottom"/>
          </w:tcPr>
          <w:p>
            <w:pPr>
              <w:spacing w:after="0"/>
              <w:rPr>
                <w:sz w:val="9"/>
                <w:szCs w:val="9"/>
                <w:color w:val="auto"/>
              </w:rPr>
            </w:pPr>
          </w:p>
        </w:tc>
        <w:tc>
          <w:tcPr>
            <w:tcW w:w="3700" w:type="dxa"/>
            <w:vAlign w:val="bottom"/>
          </w:tcPr>
          <w:p>
            <w:pPr>
              <w:ind w:left="100"/>
              <w:spacing w:after="0" w:line="113" w:lineRule="exact"/>
              <w:rPr>
                <w:sz w:val="20"/>
                <w:szCs w:val="20"/>
                <w:color w:val="auto"/>
              </w:rPr>
            </w:pPr>
            <w:r>
              <w:rPr>
                <w:rFonts w:ascii="Times New Roman" w:cs="Times New Roman" w:eastAsia="Times New Roman" w:hAnsi="Times New Roman"/>
                <w:sz w:val="13"/>
                <w:szCs w:val="13"/>
                <w:color w:val="auto"/>
              </w:rPr>
              <w:t>Signature (Joint Owners)</w:t>
            </w:r>
          </w:p>
        </w:tc>
        <w:tc>
          <w:tcPr>
            <w:tcW w:w="2060" w:type="dxa"/>
            <w:vAlign w:val="bottom"/>
            <w:gridSpan w:val="2"/>
          </w:tcPr>
          <w:p>
            <w:pPr>
              <w:ind w:left="80"/>
              <w:spacing w:after="0" w:line="113" w:lineRule="exact"/>
              <w:rPr>
                <w:sz w:val="20"/>
                <w:szCs w:val="20"/>
                <w:color w:val="auto"/>
              </w:rPr>
            </w:pPr>
            <w:r>
              <w:rPr>
                <w:rFonts w:ascii="Times New Roman" w:cs="Times New Roman" w:eastAsia="Times New Roman" w:hAnsi="Times New Roman"/>
                <w:sz w:val="13"/>
                <w:szCs w:val="13"/>
                <w:color w:val="auto"/>
              </w:rPr>
              <w:t>Date</w:t>
            </w:r>
          </w:p>
        </w:tc>
      </w:tr>
      <w:tr>
        <w:trPr>
          <w:trHeight w:val="174"/>
        </w:trPr>
        <w:tc>
          <w:tcPr>
            <w:tcW w:w="400" w:type="dxa"/>
            <w:vAlign w:val="bottom"/>
          </w:tcPr>
          <w:p>
            <w:pPr>
              <w:spacing w:after="0"/>
              <w:rPr>
                <w:sz w:val="15"/>
                <w:szCs w:val="15"/>
                <w:color w:val="auto"/>
              </w:rPr>
            </w:pPr>
          </w:p>
        </w:tc>
        <w:tc>
          <w:tcPr>
            <w:tcW w:w="27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[PLEASE SIGN WITHIN BOX]</w:t>
            </w: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898"/>
        </w:trPr>
        <w:tc>
          <w:tcPr>
            <w:tcW w:w="4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decimal"/>
      <w:start w:val="1"/>
    </w:lvl>
    <w:lvl w:ilvl="1">
      <w:lvlJc w:val="left"/>
      <w:lvlText w:val="%2."/>
      <w:numFmt w:val="lowerLetter"/>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1)"/>
      <w:numFmt w:val="lowerRoman"/>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2"/>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1."/>
      <w:numFmt w:val="decimal"/>
      <w:start w:val="2"/>
    </w:lvl>
    <w:lvl w:ilvl="1">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1."/>
      <w:numFmt w:val="decimal"/>
      <w:start w:val="4"/>
    </w:lvl>
  </w:abstractNum>
  <w:abstractNum w:abstractNumId="30">
    <w:nsid w:val="580BD78F"/>
    <w:multiLevelType w:val="hybridMultilevel"/>
    <w:lvl w:ilvl="0">
      <w:lvlJc w:val="left"/>
      <w:lvlText w:val="%1."/>
      <w:numFmt w:val="decimal"/>
      <w:start w:val="1"/>
    </w:lvl>
    <w:lvl w:ilvl="1">
      <w:lvlJc w:val="left"/>
      <w:lvlText w:val="%2."/>
      <w:numFmt w:val="decimal"/>
      <w:start w:val="2"/>
    </w:lvl>
  </w:abstractNum>
  <w:abstractNum w:abstractNumId="31">
    <w:nsid w:val="153EA438"/>
    <w:multiLevelType w:val="hybridMultilevel"/>
    <w:lvl w:ilvl="0">
      <w:lvlJc w:val="left"/>
      <w:lvlText w:val="%1."/>
      <w:numFmt w:val="decimal"/>
      <w:start w:val="5"/>
    </w:lvl>
  </w:abstractNum>
  <w:abstractNum w:abstractNumId="32">
    <w:nsid w:val="3855585C"/>
    <w:multiLevelType w:val="hybridMultilevel"/>
    <w:lvl w:ilvl="0">
      <w:lvlJc w:val="left"/>
      <w:lvlText w:val="%1."/>
      <w:numFmt w:val="decimal"/>
      <w:start w:val="6"/>
    </w:lvl>
  </w:abstractNum>
  <w:abstractNum w:abstractNumId="33">
    <w:nsid w:val="70A64E2A"/>
    <w:multiLevelType w:val="hybridMultilevel"/>
    <w:lvl w:ilvl="0">
      <w:lvlJc w:val="left"/>
      <w:lvlText w:val="%1."/>
      <w:numFmt w:val="decimal"/>
      <w:start w:val="7"/>
    </w:lvl>
  </w:abstractNum>
  <w:abstractNum w:abstractNumId="34">
    <w:nsid w:val="6A2342EC"/>
    <w:multiLevelType w:val="hybridMultilevel"/>
    <w:lvl w:ilvl="0">
      <w:lvlJc w:val="left"/>
      <w:lvlText w:val="%1."/>
      <w:numFmt w:val="decimal"/>
      <w:start w:val="8"/>
    </w:lvl>
  </w:abstractNum>
  <w:abstractNum w:abstractNumId="35">
    <w:nsid w:val="2A487CB0"/>
    <w:multiLevelType w:val="hybridMultilevel"/>
    <w:lvl w:ilvl="0">
      <w:lvlJc w:val="left"/>
      <w:lvlText w:val="%1."/>
      <w:numFmt w:val="decimal"/>
      <w:start w:val="9"/>
    </w:lvl>
  </w:abstractNum>
  <w:abstractNum w:abstractNumId="36">
    <w:nsid w:val="1D4ED43B"/>
    <w:multiLevelType w:val="hybridMultilevel"/>
    <w:lvl w:ilvl="0">
      <w:lvlJc w:val="left"/>
      <w:lvlText w:val="%1."/>
      <w:numFmt w:val="decimal"/>
      <w:start w:val="10"/>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1."/>
      <w:numFmt w:val="lowerLetter"/>
      <w:start w:val="2"/>
    </w:lvl>
  </w:abstractNum>
  <w:abstractNum w:abstractNumId="39">
    <w:nsid w:val="57E4CCAF"/>
    <w:multiLevelType w:val="hybridMultilevel"/>
    <w:lvl w:ilvl="0">
      <w:lvlJc w:val="left"/>
      <w:lvlText w:val="%1."/>
      <w:numFmt w:val="lowerLetter"/>
      <w:start w:val="3"/>
    </w:lvl>
  </w:abstractNum>
  <w:abstractNum w:abstractNumId="40">
    <w:nsid w:val="7A6D8D3C"/>
    <w:multiLevelType w:val="hybridMultilevel"/>
    <w:lvl w:ilvl="0">
      <w:lvlJc w:val="left"/>
      <w:lvlText w:val="%1."/>
      <w:numFmt w:val="decimal"/>
      <w:start w:val="1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1."/>
      <w:numFmt w:val="lowerLetter"/>
      <w:start w:val="2"/>
    </w:lvl>
  </w:abstractNum>
  <w:abstractNum w:abstractNumId="45">
    <w:nsid w:val="7644A45C"/>
    <w:multiLevelType w:val="hybridMultilevel"/>
    <w:lvl w:ilvl="0">
      <w:lvlJc w:val="left"/>
      <w:lvlText w:val="%1."/>
      <w:numFmt w:val="lowerLetter"/>
      <w:start w:val="3"/>
    </w:lvl>
  </w:abstractNum>
  <w:abstractNum w:abstractNumId="46">
    <w:nsid w:val="32FFF902"/>
    <w:multiLevelType w:val="hybridMultilevel"/>
    <w:lvl w:ilvl="0">
      <w:lvlJc w:val="left"/>
      <w:lvlText w:val="%1."/>
      <w:numFmt w:val="lowerLetter"/>
      <w:start w:val="4"/>
    </w:lvl>
  </w:abstractNum>
  <w:abstractNum w:abstractNumId="47">
    <w:nsid w:val="684A481A"/>
    <w:multiLevelType w:val="hybridMultilevel"/>
    <w:lvl w:ilvl="0">
      <w:lvlJc w:val="left"/>
      <w:lvlText w:val="%1."/>
      <w:numFmt w:val="lowerLetter"/>
      <w:start w:val="5"/>
    </w:lvl>
  </w:abstractNum>
  <w:abstractNum w:abstractNumId="48">
    <w:nsid w:val="579478FE"/>
    <w:multiLevelType w:val="hybridMultilevel"/>
    <w:lvl w:ilvl="0">
      <w:lvlJc w:val="left"/>
      <w:lvlText w:val="%1."/>
      <w:numFmt w:val="lowerLetter"/>
      <w:start w:val="6"/>
    </w:lvl>
  </w:abstractNum>
  <w:abstractNum w:abstractNumId="49">
    <w:nsid w:val="749ABB43"/>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2026-06-30T08:08:36Z</dcterms:created>
  <dcterms:modified xsi:type="dcterms:W3CDTF">2026-06-30T08:08:36Z</dcterms:modified>
</cp:coreProperties>
</file>