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occi-20261014.htm"/>
      <w:bookmarkStart w:id="1" w:name="ksocci20261014"/>
      <w:bookmarkEnd w:id="0"/>
      <w:bookmarkEnd w:id="1"/>
      <w:r>
        <w:rPr/>
        <w:t> </w:t>
      </w:r>
    </w:p>
    <w:p>
      <w:pPr>
        <w:pStyle w:val="TextBody"/>
        <w:bidi w:val="0"/>
        <w:jc w:val="right"/>
        <w:rPr>
          <w:rFonts w:ascii="Times New Roman" w:hAnsi="Times New Roman"/>
          <w:b/>
          <w:color w:val="000000"/>
          <w:sz w:val="20"/>
        </w:rPr>
      </w:pPr>
      <w:bookmarkStart w:id="2" w:name="section1"/>
      <w:bookmarkEnd w:id="2"/>
      <w:r>
        <w:rPr>
          <w:rFonts w:ascii="Times New Roman" w:hAnsi="Times New Roman"/>
          <w:b/>
          <w:color w:val="000000"/>
          <w:sz w:val="20"/>
        </w:rPr>
        <w:t>Filed pursuant to Rule 424(b)(3)</w:t>
      </w:r>
    </w:p>
    <w:p>
      <w:pPr>
        <w:pStyle w:val="TextBody"/>
        <w:bidi w:val="0"/>
        <w:spacing w:before="0" w:after="100"/>
        <w:jc w:val="right"/>
        <w:rPr>
          <w:rFonts w:ascii="Times New Roman" w:hAnsi="Times New Roman"/>
          <w:b/>
          <w:color w:val="000000"/>
          <w:sz w:val="20"/>
        </w:rPr>
      </w:pPr>
      <w:r>
        <w:rPr>
          <w:rFonts w:ascii="Times New Roman" w:hAnsi="Times New Roman"/>
          <w:b/>
          <w:color w:val="000000"/>
          <w:sz w:val="20"/>
        </w:rPr>
        <w:t>File No. 333-277773</w:t>
      </w:r>
    </w:p>
    <w:tbl>
      <w:tblPr>
        <w:tblW w:w="5012" w:type="dxa"/>
        <w:jc w:val="left"/>
        <w:tblInd w:w="0" w:type="dxa"/>
        <w:tblLayout w:type="fixed"/>
        <w:tblCellMar>
          <w:top w:w="28" w:type="dxa"/>
          <w:left w:w="28" w:type="dxa"/>
          <w:bottom w:w="28" w:type="dxa"/>
          <w:right w:w="28" w:type="dxa"/>
        </w:tblCellMar>
      </w:tblPr>
      <w:tblGrid>
        <w:gridCol w:w="3151"/>
        <w:gridCol w:w="109"/>
        <w:gridCol w:w="146"/>
        <w:gridCol w:w="160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53" w:after="283"/>
              <w:jc w:val="left"/>
              <w:rPr>
                <w:rFonts w:ascii="Times New Roman" w:hAnsi="Times New Roman"/>
                <w:b/>
                <w:color w:val="000000"/>
                <w:sz w:val="20"/>
              </w:rPr>
            </w:pPr>
            <w:r>
              <w:rPr>
                <w:rFonts w:ascii="Times New Roman" w:hAnsi="Times New Roman"/>
                <w:b/>
                <w:color w:val="000000"/>
                <w:sz w:val="20"/>
              </w:rPr>
              <w:t>PROSPECTUS SUPPLEMENT</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(To Prospectus dated May 29,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b/>
                <w:color w:val="000000"/>
                <w:sz w:val="20"/>
              </w:rPr>
            </w:pPr>
            <w:r>
              <w:rPr>
                <w:rFonts w:ascii="Times New Roman" w:hAnsi="Times New Roman"/>
                <w:b/>
                <w:color w:val="000000"/>
                <w:sz w:val="20"/>
              </w:rPr>
              <w:t>October 15, 2026</w:t>
            </w:r>
          </w:p>
        </w:tc>
      </w:tr>
    </w:tbl>
    <w:p>
      <w:pPr>
        <w:pStyle w:val="TextBody"/>
        <w:bidi w:val="0"/>
        <w:spacing w:before="160" w:after="283"/>
        <w:jc w:val="center"/>
        <w:rPr/>
      </w:pPr>
      <w:r>
        <w:rPr/>
        <w:t> </w:t>
      </w:r>
    </w:p>
    <w:p>
      <w:pPr>
        <w:pStyle w:val="TextBody"/>
        <w:bidi w:val="0"/>
        <w:spacing w:before="240" w:after="283"/>
        <w:jc w:val="center"/>
        <w:rPr>
          <w:rFonts w:ascii="Times New Roman" w:hAnsi="Times New Roman"/>
          <w:sz w:val="32"/>
        </w:rPr>
      </w:pPr>
      <w:r>
        <w:rPr>
          <w:rFonts w:ascii="Times New Roman" w:hAnsi="Times New Roman"/>
          <w:b/>
          <w:color w:val="000000"/>
          <w:sz w:val="32"/>
        </w:rPr>
        <w:t>OFS Credit Company, Inc.</w:t>
      </w:r>
      <w:r>
        <w:rPr>
          <w:rFonts w:ascii="Times New Roman" w:hAnsi="Times New Roman"/>
          <w:color w:val="000000"/>
          <w:sz w:val="32"/>
        </w:rPr>
        <w:t xml:space="preserve"> </w:t>
      </w:r>
    </w:p>
    <w:p>
      <w:pPr>
        <w:pStyle w:val="TextBody"/>
        <w:bidi w:val="0"/>
        <w:spacing w:before="240" w:after="40"/>
        <w:jc w:val="center"/>
        <w:rPr>
          <w:rFonts w:ascii="Times New Roman" w:hAnsi="Times New Roman"/>
          <w:b/>
          <w:color w:val="000000"/>
          <w:sz w:val="24"/>
        </w:rPr>
      </w:pPr>
      <w:r>
        <w:rPr>
          <w:rFonts w:ascii="Times New Roman" w:hAnsi="Times New Roman"/>
          <w:b/>
          <w:color w:val="000000"/>
          <w:sz w:val="24"/>
        </w:rPr>
        <w:t>$200,000,000</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Common Stock</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You should carefully read the entire Prospectus before investing in our common stock. </w:t>
      </w:r>
      <w:r>
        <w:rPr>
          <w:rFonts w:ascii="Times New Roman" w:hAnsi="Times New Roman"/>
          <w:b/>
          <w:color w:val="000000"/>
          <w:sz w:val="20"/>
        </w:rPr>
        <w:t>You should also review the information set forth under the “Risk Factors” section beginning on page 22 of the Base Prospectus.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terms “OFS Credit,” the “Company,” “we,” “us” and “our” generally refer to OFS Credit Company,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PRIOR SALES PURSUANT TO THE “AT THE MARKET” OFFERING</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 xml:space="preserve">From January 24, 2020 to October 14, 2026, we sold a total of 18,663,757 shares of common stock at a weighted average price of $8.30 per share under the Equity Distribution Agreement (the “At-the-Market Offering”). The net proceeds as a result of these sales of common stock were approximately $153.1 million after deducting commissions and fees. </w:t>
      </w:r>
    </w:p>
    <w:p>
      <w:pPr>
        <w:pStyle w:val="TextBody"/>
        <w:bidi w:val="0"/>
        <w:jc w:val="left"/>
        <w:rPr>
          <w:rFonts w:ascii="Times New Roman" w:hAnsi="Times New Roman"/>
          <w:color w:val="000000"/>
          <w:sz w:val="20"/>
        </w:rPr>
      </w:pPr>
      <w:r>
        <w:rPr>
          <w:rFonts w:ascii="Times New Roman" w:hAnsi="Times New Roman"/>
          <w:color w:val="000000"/>
          <w:sz w:val="20"/>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pStyle w:val="TextBody"/>
        <w:bidi w:val="0"/>
        <w:spacing w:before="160" w:after="283"/>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2"/>
        </w:rPr>
      </w:pPr>
      <w:r>
        <w:rPr>
          <w:rFonts w:ascii="Times New Roman" w:hAnsi="Times New Roman"/>
          <w:b/>
          <w:color w:val="000000"/>
          <w:sz w:val="22"/>
        </w:rPr>
        <w:t>RECENT DEVELOPMENTS</w:t>
      </w:r>
      <w:r>
        <w:rPr>
          <w:rFonts w:ascii="Times New Roman" w:hAnsi="Times New Roman"/>
          <w:color w:val="000000"/>
          <w:sz w:val="22"/>
        </w:rPr>
        <w:t xml:space="preserve">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September 2026 Financial Update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15, 2026, we announced that management’s unaudited estimate of the range of our net asset value (“NAV”) per share of our common stock as of September 30, 2026 is between $2.88 and $2.98. This estimate is not a comprehensive statement of our financial condition or results for the month ended September 30, 2026. This estimate did not undergo the Company’s typical quarter-end financial closing procedures. We advise you that current estimates of our NAV per share may differ materially from future NAV estimates or determinations, including the determination for the period ending October 31, 2026, which will be reported in our Annual Report on Form N-CSR.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condition, including the fair value of our portfolio investments, and results of operations may be materially impacted after September 30,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(“NII”), the underlying value of our investments, our financial condition and the financial condition of our portfolio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preliminary financial data included in this September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pStyle w:val="TextBody"/>
        <w:bidi w:val="0"/>
        <w:jc w:val="left"/>
        <w:rPr/>
      </w:pPr>
      <w:r>
        <w:rPr/>
        <w:t> </w:t>
      </w:r>
    </w:p>
    <w:p>
      <w:pPr>
        <w:pStyle w:val="TextBody"/>
        <w:bidi w:val="0"/>
        <w:spacing w:before="0" w:after="18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80"/>
        <w:jc w:val="center"/>
        <w:rPr>
          <w:rFonts w:ascii="Times New Roman" w:hAnsi="Times New Roman"/>
          <w:b/>
          <w:color w:val="000000"/>
          <w:sz w:val="22"/>
        </w:rPr>
      </w:pPr>
      <w:r>
        <w:rPr>
          <w:rFonts w:ascii="Times New Roman" w:hAnsi="Times New Roman"/>
          <w:b/>
          <w:color w:val="000000"/>
          <w:sz w:val="22"/>
        </w:rPr>
        <w:t>THIRD QUARTER 2026 HIGHLIGHTS AND FINANCIAL RESULTS</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THIRD QUARTER HIGHLIGHTS</w:t>
      </w:r>
    </w:p>
    <w:p>
      <w:pPr>
        <w:pStyle w:val="TextBody"/>
        <w:bidi w:val="0"/>
        <w:spacing w:before="0" w:after="80"/>
        <w:jc w:val="left"/>
        <w:rPr>
          <w:color w:val="000000"/>
        </w:rPr>
      </w:pPr>
      <w:r>
        <w:rPr>
          <w:color w:val="000000"/>
        </w:rPr>
        <w:t>•</w:t>
      </w:r>
    </w:p>
    <w:p>
      <w:pPr>
        <w:pStyle w:val="TextBody"/>
        <w:bidi w:val="0"/>
        <w:spacing w:lineRule="auto" w:line="360" w:before="0" w:after="80"/>
        <w:jc w:val="left"/>
        <w:rPr>
          <w:rFonts w:ascii="Times New Roman" w:hAnsi="Times New Roman"/>
          <w:sz w:val="13"/>
        </w:rPr>
      </w:pPr>
      <w:r>
        <w:rPr>
          <w:rFonts w:ascii="Times New Roman" w:hAnsi="Times New Roman"/>
          <w:color w:val="000000"/>
          <w:sz w:val="20"/>
        </w:rPr>
        <w:t>NII of $4.2 million, or $0.14 per common share, for the fiscal quarter ended July 31, 2026. This compares to NII of $4.4 million, or $0.15 per common share, for the fiscal quarter ended April 30, 2026. NII decreased for the fiscal quarter ended July 31, 2026, primarily due to a smaller investment portfolio, at cost, and a decrease in the interest income yield</w:t>
      </w:r>
      <w:r>
        <w:rPr>
          <w:rFonts w:ascii="Times New Roman" w:hAnsi="Times New Roman"/>
          <w:color w:val="000000"/>
          <w:sz w:val="13"/>
        </w:rPr>
        <w:t xml:space="preserve">1 </w:t>
      </w:r>
      <w:r>
        <w:rPr>
          <w:rFonts w:ascii="Times New Roman" w:hAnsi="Times New Roman"/>
          <w:color w:val="000000"/>
          <w:sz w:val="20"/>
        </w:rPr>
        <w:t xml:space="preserve">on our investment portfolio. </w:t>
      </w:r>
      <w:r>
        <w:rPr>
          <w:rFonts w:ascii="Times New Roman" w:hAnsi="Times New Roman"/>
          <w:i/>
          <w:color w:val="000000"/>
          <w:sz w:val="20"/>
        </w:rPr>
        <w:t>See</w:t>
      </w:r>
      <w:r>
        <w:rPr>
          <w:rFonts w:ascii="Times New Roman" w:hAnsi="Times New Roman"/>
          <w:color w:val="000000"/>
          <w:sz w:val="13"/>
        </w:rPr>
        <w:t xml:space="preserve"> </w:t>
      </w:r>
      <w:r>
        <w:rPr>
          <w:rFonts w:ascii="Times New Roman" w:hAnsi="Times New Roman"/>
          <w:color w:val="000000"/>
          <w:sz w:val="20"/>
        </w:rPr>
        <w:t>additional information under “Results of Operations” below.</w:t>
      </w:r>
    </w:p>
    <w:p>
      <w:pPr>
        <w:pStyle w:val="TextBody"/>
        <w:bidi w:val="0"/>
        <w:spacing w:before="0" w:after="80"/>
        <w:jc w:val="left"/>
        <w:rPr>
          <w:color w:val="000000"/>
        </w:rPr>
      </w:pPr>
      <w:r>
        <w:rPr>
          <w:color w:val="000000"/>
        </w:rPr>
        <w:t>•</w:t>
      </w:r>
    </w:p>
    <w:p>
      <w:pPr>
        <w:pStyle w:val="TextBody"/>
        <w:bidi w:val="0"/>
        <w:spacing w:lineRule="auto" w:line="360" w:before="0" w:after="80"/>
        <w:jc w:val="left"/>
        <w:rPr>
          <w:rFonts w:ascii="Times New Roman" w:hAnsi="Times New Roman"/>
          <w:sz w:val="13"/>
        </w:rPr>
      </w:pPr>
      <w:r>
        <w:rPr>
          <w:rFonts w:ascii="Times New Roman" w:hAnsi="Times New Roman"/>
          <w:color w:val="000000"/>
          <w:sz w:val="20"/>
        </w:rPr>
        <w:t>Core net investment income (“Core NII”)</w:t>
      </w:r>
      <w:r>
        <w:rPr>
          <w:rFonts w:ascii="Times New Roman" w:hAnsi="Times New Roman"/>
          <w:color w:val="000000"/>
          <w:sz w:val="13"/>
        </w:rPr>
        <w:t xml:space="preserve">2 </w:t>
      </w:r>
      <w:r>
        <w:rPr>
          <w:rFonts w:ascii="Times New Roman" w:hAnsi="Times New Roman"/>
          <w:color w:val="000000"/>
          <w:sz w:val="20"/>
        </w:rPr>
        <w:t xml:space="preserve">of $6.3 million, or $0.21 per common share, for the fiscal quarter ended July 31, 2026. This compares to Core NII of $5.5 million, or $0.19 per common share, for the fiscal quarter ended April 30, 2026. Core NII increased for the fiscal quarter ended July 31, 2026, primarily due to an increase in cash flows from issuers making their first payments subsequent to our initial investment. </w:t>
      </w:r>
      <w:r>
        <w:rPr>
          <w:rFonts w:ascii="Times New Roman" w:hAnsi="Times New Roman"/>
          <w:i/>
          <w:color w:val="000000"/>
          <w:sz w:val="20"/>
        </w:rPr>
        <w:t>See</w:t>
      </w:r>
      <w:r>
        <w:rPr>
          <w:rFonts w:ascii="Times New Roman" w:hAnsi="Times New Roman"/>
          <w:color w:val="000000"/>
          <w:sz w:val="13"/>
        </w:rPr>
        <w:t xml:space="preserve"> </w:t>
      </w:r>
      <w:r>
        <w:rPr>
          <w:rFonts w:ascii="Times New Roman" w:hAnsi="Times New Roman"/>
          <w:color w:val="000000"/>
          <w:sz w:val="20"/>
        </w:rPr>
        <w:t>additional information under “Supplemental Information Regarding Core Net Investment Income” below.</w:t>
      </w:r>
    </w:p>
    <w:p>
      <w:pPr>
        <w:pStyle w:val="TextBody"/>
        <w:bidi w:val="0"/>
        <w:spacing w:before="0" w:after="80"/>
        <w:jc w:val="left"/>
        <w:rPr>
          <w:color w:val="000000"/>
        </w:rPr>
      </w:pPr>
      <w:r>
        <w:rPr>
          <w:color w:val="000000"/>
        </w:rPr>
        <w:t>•</w:t>
      </w:r>
    </w:p>
    <w:p>
      <w:pPr>
        <w:pStyle w:val="TextBody"/>
        <w:bidi w:val="0"/>
        <w:spacing w:before="0" w:after="80"/>
        <w:jc w:val="left"/>
        <w:rPr>
          <w:rFonts w:ascii="Times New Roman" w:hAnsi="Times New Roman"/>
          <w:sz w:val="20"/>
        </w:rPr>
      </w:pPr>
      <w:r>
        <w:rPr>
          <w:rFonts w:ascii="Times New Roman" w:hAnsi="Times New Roman"/>
          <w:color w:val="000000"/>
          <w:sz w:val="20"/>
        </w:rPr>
        <w:t xml:space="preserve">NAV per common share of $3.32 at July 31, 2026, which decreased by $0.40 from the April 30, 2026 NAV of $3.72. The decrease in NAV was primarily due to a net loss on investments of $0.38 per common share. </w:t>
      </w:r>
      <w:r>
        <w:rPr>
          <w:rFonts w:ascii="Times New Roman" w:hAnsi="Times New Roman"/>
          <w:i/>
          <w:color w:val="000000"/>
          <w:sz w:val="20"/>
        </w:rPr>
        <w:t>See</w:t>
      </w:r>
      <w:r>
        <w:rPr>
          <w:rFonts w:ascii="Times New Roman" w:hAnsi="Times New Roman"/>
          <w:color w:val="000000"/>
          <w:sz w:val="20"/>
        </w:rPr>
        <w:t xml:space="preserve"> additional information under “Results of Operations” below.</w:t>
      </w:r>
    </w:p>
    <w:p>
      <w:pPr>
        <w:pStyle w:val="TextBody"/>
        <w:bidi w:val="0"/>
        <w:spacing w:before="0" w:after="80"/>
        <w:jc w:val="left"/>
        <w:rPr>
          <w:color w:val="000000"/>
        </w:rPr>
      </w:pPr>
      <w:r>
        <w:rPr>
          <w:color w:val="000000"/>
        </w:rPr>
        <w:t>•</w:t>
      </w:r>
    </w:p>
    <w:p>
      <w:pPr>
        <w:pStyle w:val="TextBody"/>
        <w:bidi w:val="0"/>
        <w:spacing w:lineRule="auto" w:line="360" w:before="0" w:after="80"/>
        <w:jc w:val="left"/>
        <w:rPr>
          <w:rFonts w:ascii="Times New Roman" w:hAnsi="Times New Roman"/>
          <w:sz w:val="13"/>
        </w:rPr>
      </w:pPr>
      <w:r>
        <w:rPr>
          <w:rFonts w:ascii="Times New Roman" w:hAnsi="Times New Roman"/>
          <w:color w:val="000000"/>
          <w:sz w:val="20"/>
        </w:rPr>
        <w:t>During the fiscal quarter ended July 31, 2026, the interest income yield</w:t>
      </w:r>
      <w:r>
        <w:rPr>
          <w:rFonts w:ascii="Times New Roman" w:hAnsi="Times New Roman"/>
          <w:color w:val="000000"/>
          <w:sz w:val="13"/>
        </w:rPr>
        <w:t xml:space="preserve">1 </w:t>
      </w:r>
      <w:r>
        <w:rPr>
          <w:rFonts w:ascii="Times New Roman" w:hAnsi="Times New Roman"/>
          <w:color w:val="000000"/>
          <w:sz w:val="20"/>
        </w:rPr>
        <w:t>of our investment portfolio was 11.43%, based on average amortized cost.</w:t>
      </w:r>
    </w:p>
    <w:p>
      <w:pPr>
        <w:pStyle w:val="TextBody"/>
        <w:bidi w:val="0"/>
        <w:spacing w:before="40" w:after="80"/>
        <w:jc w:val="left"/>
        <w:rPr>
          <w:color w:val="000000"/>
        </w:rPr>
      </w:pPr>
      <w:r>
        <w:rPr>
          <w:color w:val="000000"/>
        </w:rPr>
        <w:t>•</w:t>
      </w:r>
    </w:p>
    <w:p>
      <w:pPr>
        <w:pStyle w:val="TextBody"/>
        <w:bidi w:val="0"/>
        <w:spacing w:before="40" w:after="80"/>
        <w:jc w:val="left"/>
        <w:rPr>
          <w:rFonts w:ascii="Times New Roman" w:hAnsi="Times New Roman"/>
          <w:color w:val="000000"/>
          <w:sz w:val="20"/>
        </w:rPr>
      </w:pPr>
      <w:r>
        <w:rPr>
          <w:rFonts w:ascii="Times New Roman" w:hAnsi="Times New Roman"/>
          <w:color w:val="000000"/>
          <w:sz w:val="20"/>
        </w:rPr>
        <w:t>During the fiscal quarter ended July 31, 2026, we issued 13,500 shares of common stock through our At-the-Market offering, for net proceeds of $0.1 million, after deducting commissions, fees and offering costs.</w:t>
      </w:r>
    </w:p>
    <w:p>
      <w:pPr>
        <w:pStyle w:val="TextBody"/>
        <w:bidi w:val="0"/>
        <w:spacing w:before="40" w:after="283"/>
        <w:jc w:val="left"/>
        <w:rPr/>
      </w:pPr>
      <w:r>
        <w:rPr/>
        <w:t> </w:t>
      </w:r>
    </w:p>
    <w:tbl>
      <w:tblPr>
        <w:tblW w:w="7150" w:type="dxa"/>
        <w:jc w:val="left"/>
        <w:tblInd w:w="0" w:type="dxa"/>
        <w:tblLayout w:type="fixed"/>
        <w:tblCellMar>
          <w:top w:w="28" w:type="dxa"/>
          <w:left w:w="28" w:type="dxa"/>
          <w:bottom w:w="28" w:type="dxa"/>
          <w:right w:w="28" w:type="dxa"/>
        </w:tblCellMar>
      </w:tblPr>
      <w:tblGrid>
        <w:gridCol w:w="3706"/>
        <w:gridCol w:w="146"/>
        <w:gridCol w:w="336"/>
        <w:gridCol w:w="909"/>
        <w:gridCol w:w="271"/>
        <w:gridCol w:w="146"/>
        <w:gridCol w:w="356"/>
        <w:gridCol w:w="964"/>
        <w:gridCol w:w="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SELECTED FINANCIAL HIGHLIGHTS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July 31, 2026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April 30, 2026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Sheet Highlights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outstanding preferred stock -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NAV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9"/>
              </w:rPr>
            </w:pPr>
            <w:r>
              <w:rPr>
                <w:rFonts w:ascii="Times New Roman" w:hAnsi="Times New Roman"/>
                <w:color w:val="000000"/>
                <w:sz w:val="19"/>
              </w:rPr>
              <w:t>Asset coverage ratio</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120" w:after="283"/>
        <w:jc w:val="left"/>
        <w:rPr/>
      </w:pPr>
      <w:r>
        <w:rPr/>
        <w:t> </w:t>
      </w:r>
    </w:p>
    <w:tbl>
      <w:tblPr>
        <w:tblW w:w="7861" w:type="dxa"/>
        <w:jc w:val="left"/>
        <w:tblInd w:w="0" w:type="dxa"/>
        <w:tblLayout w:type="fixed"/>
        <w:tblCellMar>
          <w:top w:w="28" w:type="dxa"/>
          <w:left w:w="28" w:type="dxa"/>
          <w:bottom w:w="28" w:type="dxa"/>
          <w:right w:w="28" w:type="dxa"/>
        </w:tblCellMar>
      </w:tblPr>
      <w:tblGrid>
        <w:gridCol w:w="4486"/>
        <w:gridCol w:w="146"/>
        <w:gridCol w:w="356"/>
        <w:gridCol w:w="889"/>
        <w:gridCol w:w="241"/>
        <w:gridCol w:w="212"/>
        <w:gridCol w:w="377"/>
        <w:gridCol w:w="943"/>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Highlights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 the Fiscal 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July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April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change in unrealized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9"/>
              </w:rPr>
            </w:pPr>
            <w:r>
              <w:rPr>
                <w:rFonts w:ascii="Times New Roman" w:hAnsi="Times New Roman"/>
                <w:color w:val="000000"/>
                <w:sz w:val="19"/>
              </w:rPr>
              <w:t>Loss on redemption of preferred stock</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9"/>
              </w:rPr>
            </w:pPr>
            <w:r>
              <w:rPr>
                <w:rFonts w:ascii="Times New Roman" w:hAnsi="Times New Roman"/>
                <w:color w:val="000000"/>
                <w:sz w:val="19"/>
              </w:rPr>
              <w:t>Reconciliation of Core NII — Non-GAAP</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CLO equity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Core NII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PORTFOLIO AND INVESTMENT ACTIVITIES</w:t>
      </w:r>
    </w:p>
    <w:p>
      <w:pPr>
        <w:pStyle w:val="TextBody"/>
        <w:bidi w:val="0"/>
        <w:spacing w:lineRule="auto" w:line="360" w:before="0" w:after="120"/>
        <w:jc w:val="left"/>
        <w:rPr>
          <w:rFonts w:ascii="Times New Roman" w:hAnsi="Times New Roman"/>
          <w:sz w:val="13"/>
        </w:rPr>
      </w:pPr>
      <w:r>
        <w:rPr>
          <w:rFonts w:ascii="Times New Roman" w:hAnsi="Times New Roman"/>
          <w:color w:val="000000"/>
          <w:sz w:val="20"/>
        </w:rPr>
        <w:t>As of July 31, 2026, the total fair value of our investment portfolio was $181.5 million, comprised of broadly syndicated loan CLOs and middle-market loan CLOs with a total fair value of $177.7 million and $3.8 million, respectively. For the fiscal quarter ended July 31, 2026, our CLO equity cash flow yield</w:t>
      </w:r>
      <w:r>
        <w:rPr>
          <w:rFonts w:ascii="Times New Roman" w:hAnsi="Times New Roman"/>
          <w:color w:val="000000"/>
          <w:sz w:val="13"/>
        </w:rPr>
        <w:t xml:space="preserve">5 </w:t>
      </w:r>
      <w:r>
        <w:rPr>
          <w:rFonts w:ascii="Times New Roman" w:hAnsi="Times New Roman"/>
          <w:color w:val="000000"/>
          <w:sz w:val="20"/>
        </w:rPr>
        <w:t>was 14.46% based on amortized cost.</w:t>
      </w:r>
    </w:p>
    <w:tbl>
      <w:tblPr>
        <w:tblW w:w="6605" w:type="dxa"/>
        <w:jc w:val="left"/>
        <w:tblInd w:w="0" w:type="dxa"/>
        <w:tblLayout w:type="fixed"/>
        <w:tblCellMar>
          <w:top w:w="28" w:type="dxa"/>
          <w:left w:w="28" w:type="dxa"/>
          <w:bottom w:w="28" w:type="dxa"/>
          <w:right w:w="28" w:type="dxa"/>
        </w:tblCellMar>
      </w:tblPr>
      <w:tblGrid>
        <w:gridCol w:w="2881"/>
        <w:gridCol w:w="286"/>
        <w:gridCol w:w="336"/>
        <w:gridCol w:w="909"/>
        <w:gridCol w:w="271"/>
        <w:gridCol w:w="286"/>
        <w:gridCol w:w="356"/>
        <w:gridCol w:w="964"/>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9"/>
              </w:rPr>
            </w:pPr>
            <w:r>
              <w:rPr>
                <w:rFonts w:ascii="Times New Roman" w:hAnsi="Times New Roman"/>
                <w:b/>
                <w:i/>
                <w:color w:val="000000"/>
                <w:sz w:val="19"/>
              </w:rPr>
              <w:t>Portfolio Overview ($ in millions)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July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April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investments, at fair value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number of issuers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9"/>
              </w:rPr>
            </w:pPr>
            <w:r>
              <w:rPr>
                <w:rFonts w:ascii="Times New Roman" w:hAnsi="Times New Roman"/>
                <w:color w:val="000000"/>
                <w:sz w:val="19"/>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9"/>
              </w:rPr>
            </w:pPr>
            <w:r>
              <w:rPr>
                <w:rFonts w:ascii="Times New Roman" w:hAnsi="Times New Roman"/>
                <w:color w:val="000000"/>
                <w:sz w:val="19"/>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9"/>
              </w:rPr>
            </w:pPr>
            <w:r>
              <w:rPr>
                <w:rFonts w:ascii="Times New Roman" w:hAnsi="Times New Roman"/>
                <w:color w:val="000000"/>
                <w:sz w:val="19"/>
              </w:rPr>
              <w:t>Weighted-average effective yield</w:t>
            </w:r>
            <w:r>
              <w:rPr>
                <w:rFonts w:ascii="Times New Roman" w:hAnsi="Times New Roman"/>
                <w:color w:val="000000"/>
                <w:sz w:val="13"/>
              </w:rPr>
              <w:t>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0" w:after="12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7358" w:type="dxa"/>
        <w:jc w:val="left"/>
        <w:tblInd w:w="0" w:type="dxa"/>
        <w:tblLayout w:type="fixed"/>
        <w:tblCellMar>
          <w:top w:w="28" w:type="dxa"/>
          <w:left w:w="28" w:type="dxa"/>
          <w:bottom w:w="28" w:type="dxa"/>
          <w:right w:w="28" w:type="dxa"/>
        </w:tblCellMar>
      </w:tblPr>
      <w:tblGrid>
        <w:gridCol w:w="3841"/>
        <w:gridCol w:w="146"/>
        <w:gridCol w:w="335"/>
        <w:gridCol w:w="910"/>
        <w:gridCol w:w="400"/>
        <w:gridCol w:w="215"/>
        <w:gridCol w:w="499"/>
        <w:gridCol w:w="82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 the Fiscal Quarter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9"/>
              </w:rPr>
            </w:pPr>
            <w:r>
              <w:rPr>
                <w:rFonts w:ascii="Times New Roman" w:hAnsi="Times New Roman"/>
                <w:b/>
                <w:i/>
                <w:color w:val="000000"/>
                <w:sz w:val="19"/>
              </w:rPr>
              <w:t>Portfolio Purchases ($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July 31, 2026</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April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w:t>
            </w:r>
          </w:p>
        </w:tc>
        <w:tc>
          <w:tcPr>
            <w:tcW w:w="4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effective yield -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13.05</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7635" w:type="dxa"/>
        <w:jc w:val="left"/>
        <w:tblInd w:w="0" w:type="dxa"/>
        <w:tblLayout w:type="fixed"/>
        <w:tblCellMar>
          <w:top w:w="28" w:type="dxa"/>
          <w:left w:w="28" w:type="dxa"/>
          <w:bottom w:w="28" w:type="dxa"/>
          <w:right w:w="28" w:type="dxa"/>
        </w:tblCellMar>
      </w:tblPr>
      <w:tblGrid>
        <w:gridCol w:w="4561"/>
        <w:gridCol w:w="146"/>
        <w:gridCol w:w="384"/>
        <w:gridCol w:w="1041"/>
        <w:gridCol w:w="146"/>
        <w:gridCol w:w="146"/>
        <w:gridCol w:w="275"/>
        <w:gridCol w:w="745"/>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At July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9"/>
              </w:rPr>
            </w:pPr>
            <w:r>
              <w:rPr>
                <w:rFonts w:ascii="Times New Roman" w:hAnsi="Times New Roman"/>
                <w:b/>
                <w:i/>
                <w:color w:val="000000"/>
                <w:sz w:val="19"/>
              </w:rPr>
              <w:t>Portfolio Composition ($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CLO equity-related investments (i.e., fee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lineRule="auto" w:line="360" w:before="0" w:after="60"/>
        <w:jc w:val="left"/>
        <w:rPr>
          <w:rFonts w:ascii="Times New Roman" w:hAnsi="Times New Roman"/>
          <w:sz w:val="13"/>
        </w:rPr>
      </w:pPr>
      <w:r>
        <w:rPr>
          <w:rFonts w:ascii="Times New Roman" w:hAnsi="Times New Roman"/>
          <w:color w:val="000000"/>
          <w:sz w:val="20"/>
        </w:rPr>
        <w:t>During the fiscal quarter ended July 31, 2026, interest income decreased to $8.6 million from $9.2 million during the prior quarter. The decrease in interest income was primarily due to a smaller average investment portfolio, at cost, and a decrease in the interest income yield</w:t>
      </w:r>
      <w:r>
        <w:rPr>
          <w:rFonts w:ascii="Times New Roman" w:hAnsi="Times New Roman"/>
          <w:color w:val="000000"/>
          <w:sz w:val="13"/>
        </w:rPr>
        <w:t xml:space="preserve">1 </w:t>
      </w:r>
      <w:r>
        <w:rPr>
          <w:rFonts w:ascii="Times New Roman" w:hAnsi="Times New Roman"/>
          <w:color w:val="000000"/>
          <w:sz w:val="20"/>
        </w:rPr>
        <w:t>on our investment portfolio.</w:t>
      </w:r>
    </w:p>
    <w:p>
      <w:pPr>
        <w:pStyle w:val="TextBody"/>
        <w:bidi w:val="0"/>
        <w:spacing w:before="60" w:after="120"/>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fiscal quarter ended July 31, 2026, total expenses decreased by $0.4 million to $4.4 million, primarily due to a decrease of $0.4 million in interest expense. The decrease in interest expense related to aggregate preferred stock redemptions of $26.0 million during the prior quarter.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Net Realized and Unrealized Gain (Loss) on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fiscal quarter ended July 31, 2026, net loss on investments of $11.3 million was due to net realized losses of $2.4 million and net unrealized depreciation of $8.9 million. The net unrealized depreciation was primarily driven by continued spread compression coupled with concerns and price volatility surrounding software exposure in CLO portfolios, resulting in lower trading prices in market which impacted fair values.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Credit Company, Inc.</w:t>
      </w:r>
    </w:p>
    <w:p>
      <w:pPr>
        <w:pStyle w:val="TextBody"/>
        <w:bidi w:val="0"/>
        <w:jc w:val="left"/>
        <w:rPr>
          <w:rFonts w:ascii="Times New Roman" w:hAnsi="Times New Roman"/>
          <w:b/>
          <w:color w:val="000000"/>
          <w:sz w:val="20"/>
        </w:rPr>
      </w:pPr>
      <w:r>
        <w:rPr>
          <w:rFonts w:ascii="Times New Roman" w:hAnsi="Times New Roman"/>
          <w:b/>
          <w:color w:val="000000"/>
          <w:sz w:val="20"/>
        </w:rPr>
        <w:t>Statement of Assets and Liabilities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(Unaudited)</w:t>
      </w:r>
    </w:p>
    <w:tbl>
      <w:tblPr>
        <w:tblW w:w="8683" w:type="dxa"/>
        <w:jc w:val="left"/>
        <w:tblInd w:w="0" w:type="dxa"/>
        <w:tblLayout w:type="fixed"/>
        <w:tblCellMar>
          <w:top w:w="28" w:type="dxa"/>
          <w:left w:w="28" w:type="dxa"/>
          <w:bottom w:w="28" w:type="dxa"/>
          <w:right w:w="28" w:type="dxa"/>
        </w:tblCellMar>
      </w:tblPr>
      <w:tblGrid>
        <w:gridCol w:w="6616"/>
        <w:gridCol w:w="146"/>
        <w:gridCol w:w="255"/>
        <w:gridCol w:w="1455"/>
        <w:gridCol w:w="2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July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at fair value (amortized cost of $294,905,754)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181,500,267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7,779,807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328,614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189,608,688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(net of deferred issuance costs of $1,420,588)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88,479,412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adviser and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650,700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91,559,904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98,048,784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consist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of $0.001 per share; 90,000,000 shares authorized and</w:t>
              <w:br/>
              <w:t>     29,492,216 shares issued and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 capital in excess of 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225,116,515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accumulated losses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(127,097,223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98,048,784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Credit Company, Inc.</w:t>
      </w:r>
    </w:p>
    <w:p>
      <w:pPr>
        <w:pStyle w:val="TextBody"/>
        <w:bidi w:val="0"/>
        <w:jc w:val="left"/>
        <w:rPr>
          <w:rFonts w:ascii="Times New Roman" w:hAnsi="Times New Roman"/>
          <w:b/>
          <w:color w:val="000000"/>
          <w:sz w:val="20"/>
        </w:rPr>
      </w:pPr>
      <w:r>
        <w:rPr>
          <w:rFonts w:ascii="Times New Roman" w:hAnsi="Times New Roman"/>
          <w:b/>
          <w:color w:val="000000"/>
          <w:sz w:val="20"/>
        </w:rPr>
        <w:t>Statements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(Unaudited)</w:t>
      </w:r>
    </w:p>
    <w:tbl>
      <w:tblPr>
        <w:tblW w:w="8849" w:type="dxa"/>
        <w:jc w:val="left"/>
        <w:tblInd w:w="0" w:type="dxa"/>
        <w:tblLayout w:type="fixed"/>
        <w:tblCellMar>
          <w:top w:w="28" w:type="dxa"/>
          <w:left w:w="28" w:type="dxa"/>
          <w:bottom w:w="28" w:type="dxa"/>
          <w:right w:w="28" w:type="dxa"/>
        </w:tblCellMar>
      </w:tblPr>
      <w:tblGrid>
        <w:gridCol w:w="4696"/>
        <w:gridCol w:w="302"/>
        <w:gridCol w:w="1573"/>
        <w:gridCol w:w="166"/>
        <w:gridCol w:w="146"/>
        <w:gridCol w:w="283"/>
        <w:gridCol w:w="1472"/>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July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income:</w:t>
            </w:r>
          </w:p>
        </w:tc>
        <w:tc>
          <w:tcPr>
            <w:tcW w:w="18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income</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28,827,560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5,991,558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Incentive fees</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3,522,745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Base management fees</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2,781,836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Administration fees</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4,412,852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14,736,582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income</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4,232,764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14,090,978</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and unrealized gain (loss) on investments:</w:t>
            </w:r>
          </w:p>
        </w:tc>
        <w:tc>
          <w:tcPr>
            <w:tcW w:w="18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realized loss on investments</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(10,482,285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change in unrealized depreciation on investments</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(8,910,758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(44,448,029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on investments</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(11,289,998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(54,930,314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redemption of preferred stock</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net assets resulting from operations</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(40,852,696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29,378,371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28,928,701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80"/>
        <w:jc w:val="left"/>
        <w:rPr>
          <w:rFonts w:ascii="Times New Roman" w:hAnsi="Times New Roman"/>
          <w:b/>
          <w:color w:val="000000"/>
          <w:sz w:val="22"/>
        </w:rPr>
      </w:pPr>
      <w:r>
        <w:rPr>
          <w:rFonts w:ascii="Times New Roman" w:hAnsi="Times New Roman"/>
          <w:b/>
          <w:color w:val="000000"/>
          <w:sz w:val="22"/>
        </w:rPr>
        <w:t>Supplemental Information Regarding Core Net Investment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provide information relating to Core NII (a non-GAAP measure) on a supplemental basis. This measure is not provided as a substitute for GAAP NII, but in addition to it. Our non-GAAP measures may differ from similar measures by other companies, even if similar terms are used to identify such measures. Core NII represents GAAP NII adjusted for differences in applicable cash distributions received on our CLO equity and equity-related investments that have not been optionally redeemed relative to income recognized in accordance with GAAP. OFS Capital Management, LLC, our investment adviser, uses this information in its internal analysis of results and believes that this information may be informative in gauging the quality of the Company’s financial performance, identifying trends in its results, and providing meaningful period-to-period comparisons.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Income from investments in the “equity” class securities of CLO vehicles, for GAAP purposes, is recorded using the effective interest method; this is based on an estimated effective yield, at current amortized cost, to the expected redemption of the security utilizing assumed cash flows, including those CLO equity investments that have not made their inaugural distribution for the relevant period end. The result is an estimated effective yield for the investment in which the respective investment’s cost basis is adjusted quarterly based on the difference between the actual cash received, or distributions entitled to be received, and the income recognized via the estimated effective yield calculation. Accordingly, investment income recognized on CLO equity and equity-related securities in the GAAP statement of operations differs from the cash distributions actually received by the Company during the period (referred to below as “CLO equity adjustments”). Therefore, management believes that Core NII may provide a useful indicator of distributable operating income, as this reflects a measure of potential cash availability, net of operating expenses, that could be utilized to cover distributions to common stockholders. We note that this non-GAAP measure has no bearing on the tax character of the common stock distributions made during the period, and future distributions are not guaranteed. A portion of current and future common stock distributions may consist of a return of capital for tax purposes. The actual tax character of our earnings cannot be finally determined until our tax return is prepared after the close of our taxable year.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a reconciliation of GAAP NII to Core NII for the fiscal periods presented:</w:t>
      </w:r>
    </w:p>
    <w:tbl>
      <w:tblPr>
        <w:tblW w:w="10205" w:type="dxa"/>
        <w:jc w:val="left"/>
        <w:tblInd w:w="0" w:type="dxa"/>
        <w:tblLayout w:type="fixed"/>
        <w:tblCellMar>
          <w:top w:w="28" w:type="dxa"/>
          <w:left w:w="28" w:type="dxa"/>
          <w:bottom w:w="28" w:type="dxa"/>
          <w:right w:w="28" w:type="dxa"/>
        </w:tblCellMar>
      </w:tblPr>
      <w:tblGrid>
        <w:gridCol w:w="1888"/>
        <w:gridCol w:w="146"/>
        <w:gridCol w:w="248"/>
        <w:gridCol w:w="1099"/>
        <w:gridCol w:w="172"/>
        <w:gridCol w:w="172"/>
        <w:gridCol w:w="669"/>
        <w:gridCol w:w="1481"/>
        <w:gridCol w:w="146"/>
        <w:gridCol w:w="146"/>
        <w:gridCol w:w="248"/>
        <w:gridCol w:w="1099"/>
        <w:gridCol w:w="172"/>
        <w:gridCol w:w="172"/>
        <w:gridCol w:w="669"/>
        <w:gridCol w:w="1481"/>
        <w:gridCol w:w="197"/>
      </w:tblGrid>
      <w:tr>
        <w:trPr/>
        <w:tc>
          <w:tcPr>
            <w:tcW w:w="1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 the Fiscal Quarter Ended</w:t>
              <w:b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 the Fiscal Quarter Ended</w:t>
              <w:br/>
              <w:t>April 30, 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Amount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Per Common Share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Amount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Per Common Share Amount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4,232,764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4,379,722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CLO equity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2,066,595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1,103,694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Core NII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6,299,359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5,483,416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a reconciliation of GAAP NII to Core NII for the nine months ended July 31, 2026 and 2025:</w:t>
      </w:r>
    </w:p>
    <w:tbl>
      <w:tblPr>
        <w:tblW w:w="10205" w:type="dxa"/>
        <w:jc w:val="left"/>
        <w:tblInd w:w="0" w:type="dxa"/>
        <w:tblLayout w:type="fixed"/>
        <w:tblCellMar>
          <w:top w:w="28" w:type="dxa"/>
          <w:left w:w="28" w:type="dxa"/>
          <w:bottom w:w="28" w:type="dxa"/>
          <w:right w:w="28" w:type="dxa"/>
        </w:tblCellMar>
      </w:tblPr>
      <w:tblGrid>
        <w:gridCol w:w="1908"/>
        <w:gridCol w:w="146"/>
        <w:gridCol w:w="226"/>
        <w:gridCol w:w="1111"/>
        <w:gridCol w:w="156"/>
        <w:gridCol w:w="156"/>
        <w:gridCol w:w="679"/>
        <w:gridCol w:w="1503"/>
        <w:gridCol w:w="146"/>
        <w:gridCol w:w="146"/>
        <w:gridCol w:w="226"/>
        <w:gridCol w:w="1111"/>
        <w:gridCol w:w="156"/>
        <w:gridCol w:w="156"/>
        <w:gridCol w:w="679"/>
        <w:gridCol w:w="1503"/>
        <w:gridCol w:w="197"/>
      </w:tblGrid>
      <w:tr>
        <w:trPr/>
        <w:tc>
          <w:tcPr>
            <w:tcW w:w="1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 the Nine Months Ended</w:t>
              <w:b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 the Nine Months Ended</w:t>
              <w:br/>
              <w:t>July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Amount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Per Common Share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Amount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Per Common Share Amount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14,090,978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16,373,941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CLO equity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6,801,447</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8,891,204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Core NII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20,892,425</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25,265,145</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120" w:after="4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Interest income yield is calculated as total investment income earned on the investment portfolio (excluding idle cash interest income) divided by the average total investments at cost (annualized).</w:t>
      </w:r>
    </w:p>
    <w:p>
      <w:pPr>
        <w:pStyle w:val="TextBody"/>
        <w:bidi w:val="0"/>
        <w:spacing w:lineRule="auto" w:line="360" w:before="0" w:after="40"/>
        <w:jc w:val="left"/>
        <w:rPr>
          <w:rFonts w:ascii="Times New Roman" w:hAnsi="Times New Roman"/>
          <w:sz w:val="13"/>
        </w:rPr>
      </w:pPr>
      <w:r>
        <w:rPr>
          <w:rFonts w:ascii="Times New Roman" w:hAnsi="Times New Roman"/>
          <w:color w:val="000000"/>
          <w:sz w:val="13"/>
        </w:rPr>
        <w:t xml:space="preserve">2 </w:t>
      </w:r>
      <w:r>
        <w:rPr>
          <w:rFonts w:ascii="Times New Roman" w:hAnsi="Times New Roman"/>
          <w:color w:val="000000"/>
          <w:sz w:val="20"/>
        </w:rPr>
        <w:t xml:space="preserve">On a supplemental basis, we disclose Core NII, which is a financial measure calculated and presented on a basis of methodology other than in accordance with accounting principles generally accepted in the United States of America (“GAAP”). Core NII represents NII adjusted for differences in applicable cash distributions received on our CLO equity and equity-related investments that have not been optionally redeemed relative to income recognized in accordance with GAAP. </w:t>
      </w:r>
      <w:r>
        <w:rPr>
          <w:rFonts w:ascii="Times New Roman" w:hAnsi="Times New Roman"/>
          <w:i/>
          <w:color w:val="000000"/>
          <w:sz w:val="20"/>
        </w:rPr>
        <w:t>See</w:t>
      </w:r>
      <w:r>
        <w:rPr>
          <w:rFonts w:ascii="Times New Roman" w:hAnsi="Times New Roman"/>
          <w:color w:val="000000"/>
          <w:sz w:val="13"/>
        </w:rPr>
        <w:t xml:space="preserve"> </w:t>
      </w:r>
      <w:r>
        <w:rPr>
          <w:rFonts w:ascii="Times New Roman" w:hAnsi="Times New Roman"/>
          <w:color w:val="000000"/>
          <w:sz w:val="20"/>
        </w:rPr>
        <w:t>additional information under “Supplemental Information Regarding Core Net Investment Income” above.</w:t>
      </w:r>
    </w:p>
    <w:p>
      <w:pPr>
        <w:pStyle w:val="TextBody"/>
        <w:bidi w:val="0"/>
        <w:spacing w:lineRule="auto" w:line="360" w:before="0" w:after="40"/>
        <w:jc w:val="left"/>
        <w:rPr>
          <w:rFonts w:ascii="Times New Roman" w:hAnsi="Times New Roman"/>
          <w:sz w:val="13"/>
        </w:rPr>
      </w:pPr>
      <w:r>
        <w:rPr>
          <w:rFonts w:ascii="Times New Roman" w:hAnsi="Times New Roman"/>
          <w:color w:val="000000"/>
          <w:sz w:val="13"/>
        </w:rPr>
        <w:t xml:space="preserve">3 </w:t>
      </w:r>
      <w:r>
        <w:rPr>
          <w:rFonts w:ascii="Times New Roman" w:hAnsi="Times New Roman"/>
          <w:color w:val="000000"/>
          <w:sz w:val="20"/>
        </w:rPr>
        <w:t>Under the Investment Company Act of 1940, as amended (the “1940 Act”), we are permitted to issue senior securities, including preferred stock, provided that we maintain an asset coverage of at least 200% for senior securities representing indebtedness plus preferred stock, and 300% in the case of senior securities representing indebtedness. Asset coverage of senior securities representing preferred stock is calculated as the ratio of our total consolidated assets, less all liabilities and indebtedness not represented by senior securities, divided by the aggregate amount of our outstanding preferred stock and debt. Asset coverage of senior securities representing indebtedness is calculated as the ratio of our total consolidated assets, less all liabilities and indebtedness not represented by senior securities, divided by the aggregate amount of our outstanding debt.</w:t>
      </w:r>
    </w:p>
    <w:p>
      <w:pPr>
        <w:pStyle w:val="TextBody"/>
        <w:bidi w:val="0"/>
        <w:spacing w:lineRule="auto" w:line="360" w:before="0" w:after="40"/>
        <w:jc w:val="left"/>
        <w:rPr>
          <w:rFonts w:ascii="Times New Roman" w:hAnsi="Times New Roman"/>
          <w:sz w:val="13"/>
        </w:rPr>
      </w:pPr>
      <w:r>
        <w:rPr>
          <w:rFonts w:ascii="Times New Roman" w:hAnsi="Times New Roman"/>
          <w:color w:val="000000"/>
          <w:sz w:val="13"/>
        </w:rPr>
        <w:t xml:space="preserve">4 </w:t>
      </w:r>
      <w:r>
        <w:rPr>
          <w:rFonts w:ascii="Times New Roman" w:hAnsi="Times New Roman"/>
          <w:color w:val="000000"/>
          <w:sz w:val="20"/>
        </w:rPr>
        <w:t>For the fiscal quarter ended April 30, 2026, loss on redemption of preferred stock rounds to less than $(0.01) per common share.</w:t>
      </w:r>
    </w:p>
    <w:p>
      <w:pPr>
        <w:pStyle w:val="TextBody"/>
        <w:bidi w:val="0"/>
        <w:spacing w:lineRule="auto" w:line="360" w:before="0" w:after="40"/>
        <w:jc w:val="left"/>
        <w:rPr>
          <w:rFonts w:ascii="Times New Roman" w:hAnsi="Times New Roman"/>
          <w:sz w:val="13"/>
        </w:rPr>
      </w:pPr>
      <w:r>
        <w:rPr>
          <w:rFonts w:ascii="Times New Roman" w:hAnsi="Times New Roman"/>
          <w:color w:val="000000"/>
          <w:sz w:val="13"/>
        </w:rPr>
        <w:t xml:space="preserve">5 </w:t>
      </w:r>
      <w:r>
        <w:rPr>
          <w:rFonts w:ascii="Times New Roman" w:hAnsi="Times New Roman"/>
          <w:color w:val="000000"/>
          <w:sz w:val="20"/>
        </w:rPr>
        <w:t>Calculated as CLO equity and equity-related cash distributions received during the quarter, excluding distributions on CLO equity investments that have been optionally redeemed, divided by average CLO equity and equity-related investments at amortized cost (annualized).</w:t>
      </w:r>
    </w:p>
    <w:p>
      <w:pPr>
        <w:pStyle w:val="TextBody"/>
        <w:bidi w:val="0"/>
        <w:spacing w:lineRule="auto" w:line="360" w:before="0" w:after="40"/>
        <w:jc w:val="left"/>
        <w:rPr>
          <w:rFonts w:ascii="Times New Roman" w:hAnsi="Times New Roman"/>
          <w:sz w:val="13"/>
        </w:rPr>
      </w:pPr>
      <w:r>
        <w:rPr>
          <w:rFonts w:ascii="Times New Roman" w:hAnsi="Times New Roman"/>
          <w:color w:val="000000"/>
          <w:sz w:val="13"/>
        </w:rPr>
        <w:t xml:space="preserve">6 </w:t>
      </w:r>
      <w:r>
        <w:rPr>
          <w:rFonts w:ascii="Times New Roman" w:hAnsi="Times New Roman"/>
          <w:color w:val="000000"/>
          <w:sz w:val="20"/>
        </w:rPr>
        <w:t>Based on amortized cost at period end; excludes discount accretion on CLO debt investments, if applicable.</w:t>
      </w:r>
    </w:p>
    <w:p>
      <w:pPr>
        <w:pStyle w:val="TextBody"/>
        <w:bidi w:val="0"/>
        <w:spacing w:before="0" w:after="6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SCHEDULE OF INVESTMENTS AS OF JULY 31, 2026</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 xml:space="preserve">On September 17, 2026, the Company filed its monthly report on Form N-PORT for the month ended July 31, 2026, which included the Schedule of Investments as of July 31, 2026. The Schedule of Investments is attached hereto. </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Information contained on our website is not incorporated by reference into this prospects supplement or the Prospectus, and you should not consider that information to be part of this prospectus supplement or the Prospectus.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0"/>
        <w:gridCol w:w="146"/>
        <w:gridCol w:w="1027"/>
        <w:gridCol w:w="146"/>
        <w:gridCol w:w="916"/>
        <w:gridCol w:w="146"/>
        <w:gridCol w:w="842"/>
        <w:gridCol w:w="146"/>
        <w:gridCol w:w="196"/>
        <w:gridCol w:w="916"/>
        <w:gridCol w:w="146"/>
        <w:gridCol w:w="146"/>
        <w:gridCol w:w="196"/>
        <w:gridCol w:w="826"/>
        <w:gridCol w:w="146"/>
        <w:gridCol w:w="146"/>
        <w:gridCol w:w="198"/>
        <w:gridCol w:w="837"/>
        <w:gridCol w:w="146"/>
        <w:gridCol w:w="146"/>
        <w:gridCol w:w="196"/>
        <w:gridCol w:w="465"/>
        <w:gridCol w:w="350"/>
      </w:tblGrid>
      <w:tr>
        <w:trPr/>
        <w:tc>
          <w:tcPr>
            <w:tcW w:w="1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8"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50" w:type="dxa"/>
            <w:tcBorders/>
            <w:shd w:fill="FFFFFF" w:val="clear"/>
            <w:vAlign w:val="center"/>
          </w:tcPr>
          <w:p>
            <w:pPr>
              <w:pStyle w:val="TableContents"/>
              <w:bidi w:val="0"/>
              <w:spacing w:before="0" w:after="283"/>
              <w:jc w:val="left"/>
              <w:rPr>
                <w:sz w:val="4"/>
                <w:szCs w:val="4"/>
              </w:rPr>
            </w:pPr>
            <w:r>
              <w:rPr>
                <w:sz w:val="4"/>
                <w:szCs w:val="4"/>
              </w:rPr>
            </w:r>
          </w:p>
        </w:tc>
      </w:tr>
      <w:tr>
        <w:trPr/>
        <w:tc>
          <w:tcPr>
            <w:tcW w:w="1780"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Company and Investment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Interest</w:t>
              <w:br/>
              <w:t>Rate /</w:t>
              <w:br/>
              <w:t>Effective Yield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CLO Equity Securities</w:t>
            </w:r>
            <w:r>
              <w:rPr>
                <w:rFonts w:ascii="Times New Roman" w:hAnsi="Times New Roman"/>
                <w:b/>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Allegro CLO XIV,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5,526,027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3,622,276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Allegro CLO XV,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3,326,892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Allegro CLO XVI,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4/25/2037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6,490,084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Allegro CLO XVII,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7/25/2038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9,670,177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7,379,364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6,640,705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Anchorage Capital CLO 1-R,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Apex Credit CLO 2020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11/16/2020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4,834,851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Apex Credit CLO 2021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7/18/2034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Apex Credit CLO 2022-I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14,060,974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3,601,368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Apex Credit CLO 2024-I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Apex Credit CLO 13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8,420,980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Ares LV CLO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2,331,795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Ares LXXIV CLO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5,934,980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Atlas Senior Loan Fund X,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70"/>
        <w:gridCol w:w="146"/>
        <w:gridCol w:w="981"/>
        <w:gridCol w:w="146"/>
        <w:gridCol w:w="916"/>
        <w:gridCol w:w="146"/>
        <w:gridCol w:w="830"/>
        <w:gridCol w:w="146"/>
        <w:gridCol w:w="146"/>
        <w:gridCol w:w="916"/>
        <w:gridCol w:w="146"/>
        <w:gridCol w:w="146"/>
        <w:gridCol w:w="146"/>
        <w:gridCol w:w="826"/>
        <w:gridCol w:w="146"/>
        <w:gridCol w:w="146"/>
        <w:gridCol w:w="150"/>
        <w:gridCol w:w="854"/>
        <w:gridCol w:w="146"/>
        <w:gridCol w:w="146"/>
        <w:gridCol w:w="196"/>
        <w:gridCol w:w="465"/>
        <w:gridCol w:w="349"/>
      </w:tblGrid>
      <w:tr>
        <w:trPr/>
        <w:tc>
          <w:tcPr>
            <w:tcW w:w="19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9" w:type="dxa"/>
            <w:tcBorders/>
            <w:shd w:fill="FFFFFF" w:val="clear"/>
            <w:vAlign w:val="center"/>
          </w:tcPr>
          <w:p>
            <w:pPr>
              <w:pStyle w:val="TableContents"/>
              <w:bidi w:val="0"/>
              <w:spacing w:before="0" w:after="283"/>
              <w:jc w:val="left"/>
              <w:rPr>
                <w:sz w:val="4"/>
                <w:szCs w:val="4"/>
              </w:rPr>
            </w:pPr>
            <w:r>
              <w:rPr>
                <w:sz w:val="4"/>
                <w:szCs w:val="4"/>
              </w:rPr>
            </w:r>
          </w:p>
        </w:tc>
      </w:tr>
      <w:tr>
        <w:trPr/>
        <w:tc>
          <w:tcPr>
            <w:tcW w:w="1970"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Company and Investment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Interest</w:t>
              <w:br/>
              <w:t>Rate /</w:t>
              <w:br/>
              <w:t>Effective Yield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Atlas Senior Loan Fund XVII,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Ballyrock CLO 19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Barings CLO Ltd. 2018-II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Battalion CLO IX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 - Income</w:t>
            </w:r>
            <w:r>
              <w:rPr>
                <w:rFonts w:ascii="Times New Roman" w:hAnsi="Times New Roman"/>
                <w:i/>
                <w:color w:val="000000"/>
                <w:sz w:val="11"/>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Battalion CLO XI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3/20/2019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4/24/2034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Battalion CLO XV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2,545,962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Battalion CLO XIX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BlueMountain CLO XXVI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Bridge Street CLO III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3,508,313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Brightwood Capital MM CLO 2023-1,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Canyon CLO 2019-1,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Carlyle US CLO 2021-10,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38 Senior Loan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83 CLO,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4/18/2037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7,286,255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5,529,710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87 CLO,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4,602,815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15"/>
        <w:gridCol w:w="146"/>
        <w:gridCol w:w="957"/>
        <w:gridCol w:w="146"/>
        <w:gridCol w:w="916"/>
        <w:gridCol w:w="146"/>
        <w:gridCol w:w="823"/>
        <w:gridCol w:w="146"/>
        <w:gridCol w:w="146"/>
        <w:gridCol w:w="916"/>
        <w:gridCol w:w="146"/>
        <w:gridCol w:w="146"/>
        <w:gridCol w:w="146"/>
        <w:gridCol w:w="916"/>
        <w:gridCol w:w="146"/>
        <w:gridCol w:w="146"/>
        <w:gridCol w:w="150"/>
        <w:gridCol w:w="851"/>
        <w:gridCol w:w="146"/>
        <w:gridCol w:w="146"/>
        <w:gridCol w:w="196"/>
        <w:gridCol w:w="465"/>
        <w:gridCol w:w="348"/>
      </w:tblGrid>
      <w:tr>
        <w:trPr/>
        <w:tc>
          <w:tcPr>
            <w:tcW w:w="191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8" w:type="dxa"/>
            <w:tcBorders/>
            <w:shd w:fill="FFFFFF" w:val="clear"/>
            <w:vAlign w:val="center"/>
          </w:tcPr>
          <w:p>
            <w:pPr>
              <w:pStyle w:val="TableContents"/>
              <w:bidi w:val="0"/>
              <w:spacing w:before="0" w:after="283"/>
              <w:jc w:val="left"/>
              <w:rPr>
                <w:sz w:val="4"/>
                <w:szCs w:val="4"/>
              </w:rPr>
            </w:pPr>
            <w:r>
              <w:rPr>
                <w:sz w:val="4"/>
                <w:szCs w:val="4"/>
              </w:rPr>
            </w:r>
          </w:p>
        </w:tc>
      </w:tr>
      <w:tr>
        <w:trPr/>
        <w:tc>
          <w:tcPr>
            <w:tcW w:w="1915"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Company and Investment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Interest</w:t>
              <w:br/>
              <w:t>Rate /</w:t>
              <w:br/>
              <w:t>Effective Yield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95 CLO,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98 CLO,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112 CLO,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123 CLO,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4/15/2038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4,237,586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3,560,510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Eaton Vance CLO 2019-1,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13,184,857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7,910,573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Elevation CLO 2017-8,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Elevation CLO 2021-12,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4,810,737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Elevation CLO 2021-13,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Elevation CLO 2021-14,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11,971,482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Elevation CLO 2021-15,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1/25/2035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4,927,174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Empower CLO 2023-3,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Empower CLO 2024-1,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4/25/2037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3,776,706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Empower CLO 2024-2,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Empower CLO 2025-1,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7,451,530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5,754,133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Halcyon Loan Advisors Funding 2018-1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3/20/2019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HarbourView CLO VII,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38"/>
        <w:gridCol w:w="146"/>
        <w:gridCol w:w="913"/>
        <w:gridCol w:w="146"/>
        <w:gridCol w:w="916"/>
        <w:gridCol w:w="146"/>
        <w:gridCol w:w="811"/>
        <w:gridCol w:w="146"/>
        <w:gridCol w:w="146"/>
        <w:gridCol w:w="916"/>
        <w:gridCol w:w="146"/>
        <w:gridCol w:w="146"/>
        <w:gridCol w:w="146"/>
        <w:gridCol w:w="916"/>
        <w:gridCol w:w="146"/>
        <w:gridCol w:w="146"/>
        <w:gridCol w:w="149"/>
        <w:gridCol w:w="846"/>
        <w:gridCol w:w="146"/>
        <w:gridCol w:w="146"/>
        <w:gridCol w:w="202"/>
        <w:gridCol w:w="459"/>
        <w:gridCol w:w="287"/>
      </w:tblGrid>
      <w:tr>
        <w:trPr/>
        <w:tc>
          <w:tcPr>
            <w:tcW w:w="20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459"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2038"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Company and Investment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Interest</w:t>
              <w:br/>
              <w:t>Rate /</w:t>
              <w:br/>
              <w:t>Effective Yield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ICG US CLO 2021-3,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Invesco CLO 2021-2,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2,461,939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Invesco U.S. CLO 2023-1,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4/22/2037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4,519,982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Jamestown CLO XVI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Kennedy Lewis CLO 14 Ltd. (F/K/A Generate CLO 14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4/22/2037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16,046,696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KKR CLO 35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LCM 31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LCM 42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Marble Point CLO XX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4/23/2051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2,869,047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Marble Point CLO XXI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10/17/2051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Marble Point CLO XXIII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Mountain CLO 2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Niagara Park CLO,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Northwoods Capital XI-B,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7/19/2037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34,632,954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7,617,448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7,645,917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OCP CLO 2017-14,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4,288,436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Park Blue CLO 2022-I,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042"/>
        <w:gridCol w:w="146"/>
        <w:gridCol w:w="916"/>
        <w:gridCol w:w="146"/>
        <w:gridCol w:w="847"/>
        <w:gridCol w:w="146"/>
        <w:gridCol w:w="146"/>
        <w:gridCol w:w="916"/>
        <w:gridCol w:w="146"/>
        <w:gridCol w:w="146"/>
        <w:gridCol w:w="146"/>
        <w:gridCol w:w="826"/>
        <w:gridCol w:w="146"/>
        <w:gridCol w:w="146"/>
        <w:gridCol w:w="151"/>
        <w:gridCol w:w="862"/>
        <w:gridCol w:w="146"/>
        <w:gridCol w:w="146"/>
        <w:gridCol w:w="196"/>
        <w:gridCol w:w="465"/>
        <w:gridCol w:w="348"/>
      </w:tblGrid>
      <w:tr>
        <w:trPr/>
        <w:tc>
          <w:tcPr>
            <w:tcW w:w="18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8" w:type="dxa"/>
            <w:tcBorders/>
            <w:shd w:fill="FFFFFF" w:val="clear"/>
            <w:vAlign w:val="center"/>
          </w:tcPr>
          <w:p>
            <w:pPr>
              <w:pStyle w:val="TableContents"/>
              <w:bidi w:val="0"/>
              <w:spacing w:before="0" w:after="283"/>
              <w:jc w:val="left"/>
              <w:rPr>
                <w:sz w:val="4"/>
                <w:szCs w:val="4"/>
              </w:rPr>
            </w:pPr>
            <w:r>
              <w:rPr>
                <w:sz w:val="4"/>
                <w:szCs w:val="4"/>
              </w:rPr>
            </w:r>
          </w:p>
        </w:tc>
      </w:tr>
      <w:tr>
        <w:trPr/>
        <w:tc>
          <w:tcPr>
            <w:tcW w:w="1884"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Company and Investment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Interest</w:t>
              <w:br/>
              <w:t>Rate /</w:t>
              <w:br/>
              <w:t>Effective Yield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Park Blue CLO 2022-II,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4,187,977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Park Blue CLO 2023-3,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8,192,249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PPM CLO 2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4/16/2037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Regatta XIX Funding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Rockford Tower CLO 2019-1,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Rockford Tower CLO 2025-1,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5,945,991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4,839,662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Signal Peak CLO 7,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Sound Point CLO IV-R,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Steele Creek CLO 2022-1,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4/15/2038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6,339,779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Trimaran CAVU 2021-2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Trinitas CLO VIII,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Vibrant CLO X,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Vibrant CLO XIII,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Vibrant CLO XV,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Voya CLO 2017-4,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Wellfleet CLO 2021-1,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82"/>
        <w:gridCol w:w="146"/>
        <w:gridCol w:w="841"/>
        <w:gridCol w:w="146"/>
        <w:gridCol w:w="916"/>
        <w:gridCol w:w="146"/>
        <w:gridCol w:w="791"/>
        <w:gridCol w:w="146"/>
        <w:gridCol w:w="196"/>
        <w:gridCol w:w="1006"/>
        <w:gridCol w:w="146"/>
        <w:gridCol w:w="146"/>
        <w:gridCol w:w="196"/>
        <w:gridCol w:w="1006"/>
        <w:gridCol w:w="146"/>
        <w:gridCol w:w="146"/>
        <w:gridCol w:w="196"/>
        <w:gridCol w:w="1006"/>
        <w:gridCol w:w="146"/>
        <w:gridCol w:w="146"/>
        <w:gridCol w:w="146"/>
        <w:gridCol w:w="515"/>
        <w:gridCol w:w="348"/>
      </w:tblGrid>
      <w:tr>
        <w:trPr/>
        <w:tc>
          <w:tcPr>
            <w:tcW w:w="15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8" w:type="dxa"/>
            <w:tcBorders/>
            <w:shd w:fill="FFFFFF" w:val="clear"/>
            <w:vAlign w:val="center"/>
          </w:tcPr>
          <w:p>
            <w:pPr>
              <w:pStyle w:val="TableContents"/>
              <w:bidi w:val="0"/>
              <w:spacing w:before="0" w:after="283"/>
              <w:jc w:val="left"/>
              <w:rPr>
                <w:sz w:val="4"/>
                <w:szCs w:val="4"/>
              </w:rPr>
            </w:pPr>
            <w:r>
              <w:rPr>
                <w:sz w:val="4"/>
                <w:szCs w:val="4"/>
              </w:rPr>
            </w:r>
          </w:p>
        </w:tc>
      </w:tr>
      <w:tr>
        <w:trPr/>
        <w:tc>
          <w:tcPr>
            <w:tcW w:w="15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Company and Investment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Interest</w:t>
              <w:br/>
              <w:t>Rate /</w:t>
              <w:br/>
              <w:t>Effective Yield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Wildwood Park CLO,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4,073,731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Zais CLO 3,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 - Income</w:t>
            </w:r>
            <w:r>
              <w:rPr>
                <w:rFonts w:ascii="Times New Roman" w:hAnsi="Times New Roman"/>
                <w:i/>
                <w:color w:val="000000"/>
                <w:sz w:val="11"/>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58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Subordinated Notes</w:t>
            </w:r>
            <w:r>
              <w:rPr>
                <w:rFonts w:ascii="Times New Roman" w:hAnsi="Times New Roman"/>
                <w:i/>
                <w:color w:val="000000"/>
                <w:sz w:val="11"/>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1,326,606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CLO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526,482,805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293,261,235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179,429,198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183.0</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CLO equity-related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i/>
                <w:color w:val="000000"/>
                <w:sz w:val="16"/>
              </w:rPr>
              <w:t>CLO other</w:t>
            </w:r>
            <w:r>
              <w:rPr>
                <w:rFonts w:ascii="Times New Roman" w:hAnsi="Times New Roman"/>
                <w:i/>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526,482,805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294,905,754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181,500,267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185.1</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First American Treasury Obligations Fund Class Z</w:t>
            </w: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7,779,807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7,779,807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7,779,807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534,262,612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302,685,561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189,280,074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193.0</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investments are generally subject to certain limitations on resale, and may be deemed to be “restricted securities” under the Securities Act of 1933, as amended.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does not “control” and is not an “affiliate” of any of its portfolio investments, each as defined in the 1940 Act. In general, under the 1940 Act, the Company would be presumed to “control” a portfolio investment if it owned 25% or more of its voting securities and would be an “affiliate” of a portfolio investment if the Company owned 5% or more of its voting securities.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rate disclosed on collateralized loan obligation (“CLO”) equity and equity-related securities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 As of July 31, 2026, the Company’s weighted-average effective yield on its total investments, based on current amortized cost, was 11.67%. Excluding optionally redeemed CLOs, the weighted average effective yield on total investments, based on current amortized cost, was 11.98%.</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of all investments was determined in good faith by OFS Capital Management, LLC (the Company’s investment adviser) using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Subordinated notes and income notes are considered CLO equity securities. CLO equity securities are entitled to recurring distributions, which are generally equal to the residual cash flow payments made by underlying securities of the CLO less contractual payments to debt holders and CLO-fund expenses, subject to compliance with coverage tests and other provisions of the respective CLO indenture, as applicable.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July 31, 2026, the effective accretable yield has been estimated to be 0%, as the aggregate amount of projected distributions, including projected distributions related to liquidation of the underlying portfolio upon the security’s anticipated redemption, is less than current amortized cost. Projected distributions are monitored and re-evaluated quarterly. All actual distributions received will be recognized as reductions to amortized cost until such time, if and when occurring, a future aggregate amount of then-projected distributions exceeds the security’s then-current amortized cost.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Non-income producing. The Company has not recognized income on the security during the prior twelve-month period preceding the period-end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Fair value represents discounted cash flows associated with fee rebates earned from CLO equity-related investments.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July 31, 2026, the investment has been optionally redeemed and is in the process of liquidating. Commencing on the optional redemption date, the Company stops accruing interest income and remaining residual distributions are recognized as a return of capital up to the amount of current amortized cost, and realized gain for any amounts received in excess of current amortized cost, if applicable.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cash equivalents held in a money market fund as of July 31, 2026.</w:t>
      </w:r>
    </w:p>
    <w:p>
      <w:pPr>
        <w:pStyle w:val="TextBody"/>
        <w:bidi w:val="0"/>
        <w:spacing w:before="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4700</Words>
  <Characters>27083</Characters>
  <CharactersWithSpaces>35268</CharactersWithSpaces>
  <Paragraphs>5966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