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8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 No. 333-277773</w:t>
            </w:r>
          </w:p>
        </w:tc>
        <w:tc>
          <w:tcPr>
            <w:tcW w:w="0" w:type="dxa"/>
            <w:vAlign w:val="bottom"/>
          </w:tcPr>
          <w:p>
            <w:pPr>
              <w:spacing w:after="0"/>
              <w:rPr>
                <w:sz w:val="1"/>
                <w:szCs w:val="1"/>
                <w:color w:val="auto"/>
              </w:rPr>
            </w:pPr>
          </w:p>
        </w:tc>
      </w:tr>
      <w:tr>
        <w:trPr>
          <w:trHeight w:val="297"/>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14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11, 2025</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 May 29, 2024)</w:t>
            </w:r>
          </w:p>
        </w:tc>
        <w:tc>
          <w:tcPr>
            <w:tcW w:w="5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OFS Credit Company, Inc.</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4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spacing w:after="0" w:line="117" w:lineRule="exact"/>
        <w:rPr>
          <w:sz w:val="24"/>
          <w:szCs w:val="24"/>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You should carefully read the entire Prospectus before investing in our common stock. </w:t>
      </w:r>
      <w:r>
        <w:rPr>
          <w:rFonts w:ascii="Times New Roman" w:cs="Times New Roman" w:eastAsia="Times New Roman" w:hAnsi="Times New Roman"/>
          <w:sz w:val="18"/>
          <w:szCs w:val="18"/>
          <w:b w:val="1"/>
          <w:bCs w:val="1"/>
          <w:color w:val="auto"/>
        </w:rPr>
        <w:t>You should also review the information set forth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 section beginning on page 22 of the Base Prospectus.</w:t>
      </w:r>
    </w:p>
    <w:p>
      <w:pPr>
        <w:spacing w:after="0" w:line="9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“OFS Credit,” the “Company,” “we,” “us” and “our” generally refer to OFS Credit Company, Inc.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 PURSUANT TO THE “AT THE MARKET” OFFERING</w:t>
      </w:r>
    </w:p>
    <w:p>
      <w:pPr>
        <w:spacing w:after="0" w:line="14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January 24, 2020 to June 10, 2025, we sold a total of 17,303,965 shares of common stock at a weighted average price of $8.52 per share under the Equity Distribution Agreement (the “At-the-Market Offering”). The net proceeds as a result of these sales of common stock were approximately $145.7 million after deducting commissions and fees.</w:t>
      </w:r>
    </w:p>
    <w:p>
      <w:pPr>
        <w:spacing w:after="0" w:line="108"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w:t>
      </w:r>
    </w:p>
    <w:p>
      <w:pPr>
        <w:sectPr>
          <w:pgSz w:w="11900" w:h="16838" w:orient="portrait"/>
          <w:cols w:equalWidth="0" w:num="1">
            <w:col w:w="11240"/>
          </w:cols>
          <w:pgMar w:left="320" w:top="873" w:right="339" w:bottom="1440" w:gutter="0" w:footer="0" w:header="0"/>
        </w:sectPr>
      </w:pPr>
    </w:p>
    <w:bookmarkStart w:id="1" w:name="page2"/>
    <w:bookmarkEnd w:id="1"/>
    <w:p>
      <w:pPr>
        <w:ind w:left="4580"/>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May 2025 Financial Update</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11, 2025, we announced that management’s unaudited estimate of the range of our net asset value (“NAV”) per share of our common stock as of May 31, 2025 is between $6.23 and $6.33. This estimate is not a comprehensive statement of our financial condition or results for the month ended May 31, 2025. This estimate did not undergo the Company’s typical quarter-end financial closing procedures. We advise you that current estimates of our NAV per share may differ materially from future NAV estimates or determinations, including the determination for the period ending July 31, 2025, which will be reported in our monthly report on Form N-PORT.</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financial condition, including the fair value of our portfolio investments, and results of operations may be materially impacted after May 31, 2025 by circumstances and events that are not yet known. To the extent our portfolio investments are adversely impacted by interest rate and inflation rate changes, the ongoing war between Russia and Ukraine, the agenda of the new U.S. Presidential administration, including the impact of tariff enactment and tax reductions, trade disputes with other countries, instability in the U.S. and international banking systems, the risk of recession or a shutdown of U.S. government services and related market volatility, or by other factors, we may experience a material adverse impact on our future NAV, net investment income, the underlying value of our investments, our financial condition and the financial condition of our portfolio investments.</w:t>
      </w:r>
    </w:p>
    <w:p>
      <w:pPr>
        <w:spacing w:after="0" w:line="13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preliminary financial data included in this May 2025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p>
      <w:pPr>
        <w:sectPr>
          <w:pgSz w:w="11900" w:h="16838" w:orient="portrait"/>
          <w:cols w:equalWidth="0" w:num="1">
            <w:col w:w="11140"/>
          </w:cols>
          <w:pgMar w:left="320" w:top="909" w:right="439" w:bottom="1440" w:gutter="0" w:footer="0" w:header="0"/>
        </w:sectPr>
      </w:pPr>
    </w:p>
    <w:bookmarkStart w:id="2" w:name="page3"/>
    <w:bookmarkEnd w:id="2"/>
    <w:p>
      <w:pPr>
        <w:ind w:left="2500"/>
        <w:spacing w:after="0"/>
        <w:rPr>
          <w:sz w:val="20"/>
          <w:szCs w:val="20"/>
          <w:color w:val="auto"/>
        </w:rPr>
      </w:pPr>
      <w:r>
        <w:rPr>
          <w:rFonts w:ascii="Times New Roman" w:cs="Times New Roman" w:eastAsia="Times New Roman" w:hAnsi="Times New Roman"/>
          <w:sz w:val="20"/>
          <w:szCs w:val="20"/>
          <w:b w:val="1"/>
          <w:bCs w:val="1"/>
          <w:color w:val="auto"/>
        </w:rPr>
        <w:t>SECOND QUARTER 2025 HIGHLIGHTS AND FINANCIAL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HIGHLIGHTS</w:t>
      </w:r>
    </w:p>
    <w:p>
      <w:pPr>
        <w:spacing w:after="0" w:line="103" w:lineRule="exact"/>
        <w:rPr>
          <w:sz w:val="20"/>
          <w:szCs w:val="20"/>
          <w:color w:val="auto"/>
        </w:rPr>
      </w:pPr>
    </w:p>
    <w:p>
      <w:pPr>
        <w:ind w:left="660" w:right="220" w:hanging="328"/>
        <w:spacing w:after="0" w:line="251" w:lineRule="auto"/>
        <w:tabs>
          <w:tab w:leader="none" w:pos="628"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Net investment income (“NII”) of $5.2 million, or $0.21 per common share, for the fiscal quarter ended April 30, 2025. This compares to NII of $5.2 million, or $0.23 per common share, for the fiscal quarter ended January 31, 2025. During the fiscal quarter ended April 30, 2025, NII remained stable while NII per common share decreased by $0.02 to $0.21 due to a decrease in our net interest spread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rFonts w:ascii="Arial" w:cs="Arial" w:eastAsia="Arial" w:hAnsi="Arial"/>
          <w:sz w:val="18"/>
          <w:szCs w:val="18"/>
          <w:color w:val="auto"/>
        </w:rPr>
      </w:pPr>
    </w:p>
    <w:p>
      <w:pPr>
        <w:ind w:left="660" w:right="60" w:hanging="328"/>
        <w:spacing w:after="0" w:line="22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net investment income (“Core NII”)</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$9.2 million, or $0.37 per common share, for the fiscal quarter ended April 30, 2025. This compares to Core NII of $7.5 million, or $0.34 per common share, for the fiscal quarter ended January 31, 2025. Core NII increased for the fiscal quarter ended April 30, 2025, because recurring waterfall payments from CLO equity investments increased to $13.0 million from $10.9 million in the prior quarter, primarily attributable to an increase in issuers making their first payments since our investment.</w:t>
      </w:r>
    </w:p>
    <w:p>
      <w:pPr>
        <w:spacing w:after="0" w:line="7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 per common share of $6.17 at April 30, 2025, a decrease from NAV of $7.00 at January 31, 2025. This decrease in NAV was primarily due to a net loss on investments of $0.71 per common share.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additional information under “Results of Operations” below.</w:t>
      </w:r>
    </w:p>
    <w:p>
      <w:pPr>
        <w:spacing w:after="0" w:line="50" w:lineRule="exact"/>
        <w:rPr>
          <w:rFonts w:ascii="Times New Roman" w:cs="Times New Roman" w:eastAsia="Times New Roman" w:hAnsi="Times New Roman"/>
          <w:sz w:val="18"/>
          <w:szCs w:val="18"/>
          <w:color w:val="auto"/>
        </w:rPr>
      </w:pPr>
    </w:p>
    <w:p>
      <w:pPr>
        <w:ind w:left="660" w:right="300" w:hanging="328"/>
        <w:spacing w:after="0" w:line="224"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April 30, 2025, the interest income yield</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of our investment portfolio was 14.04%, based on average amortized cost.</w:t>
      </w:r>
    </w:p>
    <w:p>
      <w:pPr>
        <w:spacing w:after="0" w:line="76"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April 30, 2025, we issued 2,317,132 shares of common stock through our At-the-Market offering, for net proceeds of $16.2 million, after deducting commissions, fees and offering costs.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SELECTED FINANCIAL HIGHLIGHTS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tc>
        <w:tc>
          <w:tcPr>
            <w:tcW w:w="1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At</w:t>
            </w:r>
          </w:p>
        </w:tc>
        <w:tc>
          <w:tcPr>
            <w:tcW w:w="214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Highlights</w:t>
            </w:r>
          </w:p>
        </w:tc>
        <w:tc>
          <w:tcPr>
            <w:tcW w:w="1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 preferred stock - principal</w:t>
            </w:r>
          </w:p>
        </w:tc>
        <w:tc>
          <w:tcPr>
            <w:tcW w:w="1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w:t>
            </w:r>
          </w:p>
        </w:tc>
        <w:tc>
          <w:tcPr>
            <w:tcW w:w="1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 per common share</w:t>
            </w:r>
          </w:p>
        </w:tc>
        <w:tc>
          <w:tcPr>
            <w:tcW w:w="1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Highlights</w:t>
            </w:r>
          </w:p>
        </w:tc>
        <w:tc>
          <w:tcPr>
            <w:tcW w:w="38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4"/>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For the Fiscal Quarter Ended</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w:t>
            </w:r>
          </w:p>
        </w:tc>
        <w:tc>
          <w:tcPr>
            <w:tcW w:w="38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realized gain (loss) on investments</w:t>
            </w:r>
            <w:r>
              <w:rPr>
                <w:rFonts w:ascii="Times New Roman" w:cs="Times New Roman" w:eastAsia="Times New Roman" w:hAnsi="Times New Roman"/>
                <w:sz w:val="23"/>
                <w:szCs w:val="23"/>
                <w:color w:val="auto"/>
                <w:vertAlign w:val="superscript"/>
              </w:rPr>
              <w:t>4</w:t>
            </w:r>
          </w:p>
        </w:tc>
        <w:tc>
          <w:tcPr>
            <w:tcW w:w="3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3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50"/>
        </w:trPr>
        <w:tc>
          <w:tcPr>
            <w:tcW w:w="6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spacing w:after="0"/>
              <w:rPr>
                <w:sz w:val="21"/>
                <w:szCs w:val="21"/>
                <w:color w:val="auto"/>
              </w:rPr>
            </w:pP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Reconciliation of Core NII — Non-GAAP</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equity adjustments</w:t>
            </w:r>
          </w:p>
        </w:tc>
        <w:tc>
          <w:tcPr>
            <w:tcW w:w="3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NII</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center"/>
              <w:ind w:left="153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80" w:hanging="72"/>
        <w:spacing w:after="0"/>
        <w:tabs>
          <w:tab w:leader="none" w:pos="80"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interest spread is calculated as the earned yield on the investment portfolio less the effective interest rate incurred on outstanding preferred stock.</w:t>
      </w:r>
    </w:p>
    <w:p>
      <w:pPr>
        <w:spacing w:after="0" w:line="34" w:lineRule="exact"/>
        <w:rPr>
          <w:sz w:val="20"/>
          <w:szCs w:val="20"/>
          <w:color w:val="auto"/>
        </w:rPr>
      </w:pPr>
    </w:p>
    <w:p>
      <w:pPr>
        <w:ind w:right="60" w:firstLine="8"/>
        <w:spacing w:after="0" w:line="226" w:lineRule="auto"/>
        <w:tabs>
          <w:tab w:leader="none" w:pos="93"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On a supplemental basis, we disclose Core NII, which is a financial measure calculated and presented on a basis of methodology other than in accordance with accounting principles generally accepted in the United States of America (“GAAP”). Core NII represents NII adjusted for differences in applicable cash distributions received on our CLO equity and equity-related investments that have not been optionally redeemed relative to income recognized in accordance with GAAP.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additional information under “Supplemental Information Regarding Core Net Investment Income” below.</w:t>
      </w:r>
    </w:p>
    <w:p>
      <w:pPr>
        <w:spacing w:after="0" w:line="21" w:lineRule="exact"/>
        <w:rPr>
          <w:sz w:val="20"/>
          <w:szCs w:val="20"/>
          <w:color w:val="auto"/>
        </w:rPr>
      </w:pPr>
    </w:p>
    <w:p>
      <w:pPr>
        <w:ind w:right="580" w:firstLine="8"/>
        <w:spacing w:after="0" w:line="225" w:lineRule="auto"/>
        <w:tabs>
          <w:tab w:leader="none" w:pos="93"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income yield is calculated as total investment income earned on the investment portfolio (excluding idle cash interest income) divided by the average total investments at cost (annualized).</w:t>
      </w:r>
    </w:p>
    <w:p>
      <w:pPr>
        <w:spacing w:after="0" w:line="19" w:lineRule="exact"/>
        <w:rPr>
          <w:rFonts w:ascii="Times New Roman" w:cs="Times New Roman" w:eastAsia="Times New Roman" w:hAnsi="Times New Roman"/>
          <w:sz w:val="21"/>
          <w:szCs w:val="21"/>
          <w:color w:val="auto"/>
          <w:vertAlign w:val="superscript"/>
        </w:rPr>
      </w:pP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For the fiscal quarter ended January 31, 2025, net realized gain on investments rounds to less than $0.01 per common share.</w:t>
      </w:r>
    </w:p>
    <w:p>
      <w:pPr>
        <w:sectPr>
          <w:pgSz w:w="11900" w:h="16838" w:orient="portrait"/>
          <w:cols w:equalWidth="0" w:num="1">
            <w:col w:w="11220"/>
          </w:cols>
          <w:pgMar w:left="320" w:top="108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PORTFOLIO AND INVESTMENT ACTIVITIES</w:t>
      </w:r>
    </w:p>
    <w:p>
      <w:pPr>
        <w:spacing w:after="0" w:line="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As of April 30, 2025, the total fair value of our investment portfolio was $252.2 million, which was equal to 81.2% of amortized cost. For the quarter ended April 30, 2025, our CLO equity cash flow yield</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was 20.04% based on amortized cost.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At</w:t>
            </w:r>
          </w:p>
        </w:tc>
        <w:tc>
          <w:tcPr>
            <w:tcW w:w="232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Portfolio Overview ($ in millions)</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331"/>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252.2</w:t>
            </w:r>
          </w:p>
        </w:tc>
        <w:tc>
          <w:tcPr>
            <w:tcW w:w="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237.5</w:t>
            </w:r>
          </w:p>
        </w:tc>
      </w:tr>
      <w:tr>
        <w:trPr>
          <w:trHeight w:val="108"/>
        </w:trPr>
        <w:tc>
          <w:tcPr>
            <w:tcW w:w="5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320" w:type="dxa"/>
            <w:vAlign w:val="bottom"/>
            <w:shd w:val="clear" w:color="auto" w:fill="CCEEFF"/>
          </w:tcPr>
          <w:p>
            <w:pPr>
              <w:spacing w:after="0"/>
              <w:rPr>
                <w:sz w:val="9"/>
                <w:szCs w:val="9"/>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number of issuers</w:t>
            </w:r>
          </w:p>
        </w:tc>
        <w:tc>
          <w:tcPr>
            <w:tcW w:w="460" w:type="dxa"/>
            <w:vAlign w:val="bottom"/>
          </w:tcPr>
          <w:p>
            <w:pPr>
              <w:spacing w:after="0"/>
              <w:rPr>
                <w:sz w:val="19"/>
                <w:szCs w:val="19"/>
                <w:color w:val="auto"/>
              </w:rPr>
            </w:pPr>
          </w:p>
        </w:tc>
        <w:tc>
          <w:tcPr>
            <w:tcW w:w="21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80</w:t>
            </w:r>
          </w:p>
        </w:tc>
      </w:tr>
      <w:tr>
        <w:trPr>
          <w:trHeight w:val="42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effective yield</w:t>
            </w:r>
            <w:r>
              <w:rPr>
                <w:rFonts w:ascii="Times New Roman" w:cs="Times New Roman" w:eastAsia="Times New Roman" w:hAnsi="Times New Roman"/>
                <w:sz w:val="23"/>
                <w:szCs w:val="23"/>
                <w:color w:val="auto"/>
                <w:vertAlign w:val="superscript"/>
              </w:rPr>
              <w:t>6</w:t>
            </w:r>
          </w:p>
        </w:tc>
        <w:tc>
          <w:tcPr>
            <w:tcW w:w="46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14.07 %</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3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99"/>
              </w:rPr>
              <w:t>13.46 %</w:t>
            </w:r>
          </w:p>
        </w:tc>
      </w:tr>
      <w:tr>
        <w:trPr>
          <w:trHeight w:val="26"/>
        </w:trPr>
        <w:tc>
          <w:tcPr>
            <w:tcW w:w="5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ind w:right="160" w:firstLine="8"/>
        <w:spacing w:after="0" w:line="229" w:lineRule="auto"/>
        <w:tabs>
          <w:tab w:leader="none" w:pos="8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CLO equity and equity-related cash distributions received during the quarter, excluding distributions on CLO equity investments that have been optionally redeemed, divided by average CLO equity and equity-related investments at amortized cost.</w:t>
      </w:r>
    </w:p>
    <w:p>
      <w:pPr>
        <w:spacing w:after="0" w:line="6"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amortized cost at period end; excludes discount accretion on CLO debt investments.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gridSpan w:val="4"/>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For the Fiscal Quarter Ended</w:t>
            </w:r>
          </w:p>
        </w:tc>
      </w:tr>
      <w:tr>
        <w:trPr>
          <w:trHeight w:val="22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Portfolio Purchases ($ in millions)</w:t>
            </w:r>
          </w:p>
        </w:tc>
        <w:tc>
          <w:tcPr>
            <w:tcW w:w="460" w:type="dxa"/>
            <w:vAlign w:val="bottom"/>
          </w:tcPr>
          <w:p>
            <w:pPr>
              <w:spacing w:after="0"/>
              <w:rPr>
                <w:sz w:val="19"/>
                <w:szCs w:val="19"/>
                <w:color w:val="auto"/>
              </w:rPr>
            </w:pPr>
          </w:p>
        </w:tc>
        <w:tc>
          <w:tcPr>
            <w:tcW w:w="2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380" w:type="dxa"/>
            <w:vAlign w:val="bottom"/>
          </w:tcPr>
          <w:p>
            <w:pPr>
              <w:spacing w:after="0"/>
              <w:rPr>
                <w:sz w:val="19"/>
                <w:szCs w:val="19"/>
                <w:color w:val="auto"/>
              </w:rPr>
            </w:pPr>
          </w:p>
        </w:tc>
        <w:tc>
          <w:tcPr>
            <w:tcW w:w="22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January 31, 2025</w:t>
            </w:r>
          </w:p>
        </w:tc>
      </w:tr>
      <w:tr>
        <w:trPr>
          <w:trHeight w:val="223"/>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equity investments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debt investments</w:t>
            </w:r>
          </w:p>
        </w:tc>
        <w:tc>
          <w:tcPr>
            <w:tcW w:w="460" w:type="dxa"/>
            <w:vAlign w:val="bottom"/>
          </w:tcPr>
          <w:p>
            <w:pPr>
              <w:spacing w:after="0"/>
              <w:rPr>
                <w:sz w:val="19"/>
                <w:szCs w:val="19"/>
                <w:color w:val="auto"/>
              </w:rPr>
            </w:pPr>
          </w:p>
        </w:tc>
        <w:tc>
          <w:tcPr>
            <w:tcW w:w="2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accumulation facility investments</w:t>
            </w:r>
          </w:p>
        </w:tc>
        <w:tc>
          <w:tcPr>
            <w:tcW w:w="46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5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CLO equity-related investments (i.e., fee rebates)</w:t>
            </w:r>
          </w:p>
        </w:tc>
        <w:tc>
          <w:tcPr>
            <w:tcW w:w="4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48.8</w:t>
            </w:r>
          </w:p>
        </w:tc>
      </w:tr>
      <w:tr>
        <w:trPr>
          <w:trHeight w:val="22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effective yield - period end</w:t>
            </w:r>
          </w:p>
        </w:tc>
        <w:tc>
          <w:tcPr>
            <w:tcW w:w="4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15.99 %</w:t>
            </w: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At April 30, 2025</w:t>
            </w:r>
          </w:p>
        </w:tc>
        <w:tc>
          <w:tcPr>
            <w:tcW w:w="1860" w:type="dxa"/>
            <w:vAlign w:val="bottom"/>
            <w:tcBorders>
              <w:bottom w:val="single" w:sz="8" w:color="auto"/>
            </w:tcBorders>
          </w:tcPr>
          <w:p>
            <w:pPr>
              <w:spacing w:after="0"/>
              <w:rPr>
                <w:sz w:val="20"/>
                <w:szCs w:val="20"/>
                <w:color w:val="auto"/>
              </w:rPr>
            </w:pPr>
          </w:p>
        </w:tc>
      </w:tr>
      <w:tr>
        <w:trPr>
          <w:trHeight w:val="22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Portfolio Composition ($ in millions)</w:t>
            </w:r>
          </w:p>
        </w:tc>
        <w:tc>
          <w:tcPr>
            <w:tcW w:w="420" w:type="dxa"/>
            <w:vAlign w:val="bottom"/>
          </w:tcPr>
          <w:p>
            <w:pPr>
              <w:spacing w:after="0"/>
              <w:rPr>
                <w:sz w:val="19"/>
                <w:szCs w:val="19"/>
                <w:color w:val="auto"/>
              </w:rPr>
            </w:pPr>
          </w:p>
        </w:tc>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720" w:type="dxa"/>
            <w:vAlign w:val="bottom"/>
          </w:tcPr>
          <w:p>
            <w:pPr>
              <w:spacing w:after="0"/>
              <w:rPr>
                <w:sz w:val="19"/>
                <w:szCs w:val="19"/>
                <w:color w:val="auto"/>
              </w:rPr>
            </w:pPr>
          </w:p>
        </w:tc>
        <w:tc>
          <w:tcPr>
            <w:tcW w:w="1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 equity investments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r>
      <w:tr>
        <w:trPr>
          <w:trHeight w:val="230"/>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 debt investments</w:t>
            </w:r>
          </w:p>
        </w:tc>
        <w:tc>
          <w:tcPr>
            <w:tcW w:w="4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accumulation facility investments</w:t>
            </w:r>
          </w:p>
        </w:tc>
        <w:tc>
          <w:tcPr>
            <w:tcW w:w="4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CLO equity-related investments (i.e., fee rebates)</w:t>
            </w:r>
          </w:p>
        </w:tc>
        <w:tc>
          <w:tcPr>
            <w:tcW w:w="4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jc w:val="both"/>
        <w:ind w:right="440"/>
        <w:spacing w:after="0" w:line="250" w:lineRule="auto"/>
        <w:rPr>
          <w:sz w:val="20"/>
          <w:szCs w:val="20"/>
          <w:color w:val="auto"/>
        </w:rPr>
      </w:pPr>
      <w:r>
        <w:rPr>
          <w:rFonts w:ascii="Times New Roman" w:cs="Times New Roman" w:eastAsia="Times New Roman" w:hAnsi="Times New Roman"/>
          <w:sz w:val="18"/>
          <w:szCs w:val="18"/>
          <w:color w:val="auto"/>
        </w:rPr>
        <w:t>During the fiscal quarter ended April 30, 2025, interest income increased to $10.2 million from $10.1 million during the prior quarter. The increase in interest income was primarily due to net investment deployment (purchases, net of sales and repayments) of $36.4 million, partially offset by a 0.64% decrease in the interest income yield of our investment portfolio as compared to the prior quarter.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April 30, 2025, total expenses increased by $0.2 million to $5.1 million, primarily due to an increase of $0.2 million in interest expense related to one month of expense on our 8.00% Series G Term Preferred Stock due 2030.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 (Loss) on Investments</w:t>
      </w:r>
    </w:p>
    <w:p>
      <w:pPr>
        <w:spacing w:after="0" w:line="10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During the fiscal quarter ended April 30, 2025, net loss on investments of $17.8 million was primarily due to net unrealized depreciation of $16.8 million on our CLO equity investments, attributable to meaningful widening in debt spread levels coupled with a decrease in underlying collateral loan prices during the quarter.</w:t>
      </w:r>
    </w:p>
    <w:p>
      <w:pPr>
        <w:sectPr>
          <w:pgSz w:w="11900" w:h="16838" w:orient="portrait"/>
          <w:cols w:equalWidth="0" w:num="1">
            <w:col w:w="11240"/>
          </w:cols>
          <w:pgMar w:left="320" w:top="1085" w:right="339" w:bottom="1440" w:gutter="0" w:footer="0" w:header="0"/>
        </w:sectPr>
      </w:pPr>
    </w:p>
    <w:bookmarkStart w:id="4" w:name="page5"/>
    <w:bookmarkEnd w:id="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Assets and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146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Investments, at fair value (amortized cost of $310,569,859)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145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Receivable for common stock sold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Preferred stock (net of deferred issuance costs of $2,390,395)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Payable to adviser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6256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assets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265430"/>
                    </a:xfrm>
                    <a:prstGeom prst="rect">
                      <a:avLst/>
                    </a:prstGeom>
                    <a:noFill/>
                  </pic:spPr>
                </pic:pic>
              </a:graphicData>
            </a:graphic>
          </wp:anchor>
        </w:drawing>
      </w:r>
    </w:p>
    <w:p>
      <w:pPr>
        <w:spacing w:after="0" w:line="11" w:lineRule="exact"/>
        <w:rPr>
          <w:sz w:val="20"/>
          <w:szCs w:val="20"/>
          <w:color w:val="auto"/>
        </w:rPr>
      </w:pPr>
    </w:p>
    <w:p>
      <w:pPr>
        <w:ind w:left="180" w:right="296" w:hanging="161"/>
        <w:spacing w:after="0" w:line="234" w:lineRule="auto"/>
        <w:rPr>
          <w:sz w:val="20"/>
          <w:szCs w:val="20"/>
          <w:color w:val="auto"/>
        </w:rPr>
      </w:pPr>
      <w:r>
        <w:rPr>
          <w:rFonts w:ascii="Times New Roman" w:cs="Times New Roman" w:eastAsia="Times New Roman" w:hAnsi="Times New Roman"/>
          <w:sz w:val="18"/>
          <w:szCs w:val="18"/>
          <w:color w:val="auto"/>
        </w:rPr>
        <w:t>Common stock, par value of $0.001 per share; 90,000,000 shares authorized and 25,966,491 shares issued and outstanding</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Paid-in capital in excess of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2343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accumulated losses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2343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asset value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b w:val="1"/>
          <w:bCs w:val="1"/>
          <w:color w:val="auto"/>
        </w:rPr>
        <w:t>As of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440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36" w:lineRule="exact"/>
        <w:rPr>
          <w:sz w:val="20"/>
          <w:szCs w:val="20"/>
          <w:color w:val="auto"/>
        </w:rPr>
      </w:pPr>
    </w:p>
    <w:p>
      <w:pPr>
        <w:ind w:left="1284" w:hanging="1284"/>
        <w:spacing w:after="0"/>
        <w:tabs>
          <w:tab w:leader="none" w:pos="12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252,244,071</w:t>
      </w:r>
    </w:p>
    <w:p>
      <w:pPr>
        <w:spacing w:after="0" w:line="27" w:lineRule="exact"/>
        <w:rPr>
          <w:rFonts w:ascii="Times New Roman" w:cs="Times New Roman" w:eastAsia="Times New Roman" w:hAnsi="Times New Roman"/>
          <w:sz w:val="18"/>
          <w:szCs w:val="18"/>
          <w:color w:val="auto"/>
        </w:rPr>
      </w:pPr>
    </w:p>
    <w:p>
      <w:pPr>
        <w:ind w:left="13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23,070,925</w:t>
      </w:r>
    </w:p>
    <w:p>
      <w:pPr>
        <w:spacing w:after="0" w:line="22" w:lineRule="exact"/>
        <w:rPr>
          <w:rFonts w:ascii="Times New Roman" w:cs="Times New Roman" w:eastAsia="Times New Roman" w:hAnsi="Times New Roman"/>
          <w:sz w:val="18"/>
          <w:szCs w:val="18"/>
          <w:color w:val="auto"/>
        </w:rPr>
      </w:pPr>
    </w:p>
    <w:p>
      <w:pPr>
        <w:ind w:left="15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467,715</w:t>
      </w:r>
    </w:p>
    <w:p>
      <w:pPr>
        <w:spacing w:after="0" w:line="22" w:lineRule="exact"/>
        <w:rPr>
          <w:rFonts w:ascii="Times New Roman" w:cs="Times New Roman" w:eastAsia="Times New Roman" w:hAnsi="Times New Roman"/>
          <w:sz w:val="18"/>
          <w:szCs w:val="18"/>
          <w:color w:val="auto"/>
        </w:rPr>
      </w:pPr>
    </w:p>
    <w:p>
      <w:pPr>
        <w:ind w:left="1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1,137,268</w:t>
      </w:r>
    </w:p>
    <w:p>
      <w:pPr>
        <w:spacing w:after="0" w:line="22" w:lineRule="exact"/>
        <w:rPr>
          <w:rFonts w:ascii="Times New Roman" w:cs="Times New Roman" w:eastAsia="Times New Roman" w:hAnsi="Times New Roman"/>
          <w:sz w:val="18"/>
          <w:szCs w:val="18"/>
          <w:color w:val="auto"/>
        </w:rPr>
      </w:pPr>
    </w:p>
    <w:p>
      <w:pPr>
        <w:ind w:left="15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369,974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4401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1" w:lineRule="exact"/>
        <w:rPr>
          <w:sz w:val="20"/>
          <w:szCs w:val="20"/>
          <w:color w:val="auto"/>
        </w:rPr>
      </w:pPr>
    </w:p>
    <w:p>
      <w:pPr>
        <w:ind w:left="1284"/>
        <w:spacing w:after="0"/>
        <w:rPr>
          <w:sz w:val="20"/>
          <w:szCs w:val="20"/>
          <w:color w:val="auto"/>
        </w:rPr>
      </w:pPr>
      <w:r>
        <w:rPr>
          <w:rFonts w:ascii="Times New Roman" w:cs="Times New Roman" w:eastAsia="Times New Roman" w:hAnsi="Times New Roman"/>
          <w:sz w:val="18"/>
          <w:szCs w:val="18"/>
          <w:color w:val="auto"/>
        </w:rPr>
        <w:t>277,289,953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40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113,509,605</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2,991,239</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486,316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4401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11" w:lineRule="exact"/>
        <w:rPr>
          <w:sz w:val="20"/>
          <w:szCs w:val="20"/>
          <w:color w:val="auto"/>
        </w:rPr>
      </w:pPr>
    </w:p>
    <w:p>
      <w:pPr>
        <w:ind w:left="1284"/>
        <w:spacing w:after="0"/>
        <w:rPr>
          <w:sz w:val="20"/>
          <w:szCs w:val="20"/>
          <w:color w:val="auto"/>
        </w:rPr>
      </w:pPr>
      <w:r>
        <w:rPr>
          <w:rFonts w:ascii="Times New Roman" w:cs="Times New Roman" w:eastAsia="Times New Roman" w:hAnsi="Times New Roman"/>
          <w:sz w:val="18"/>
          <w:szCs w:val="18"/>
          <w:color w:val="auto"/>
        </w:rPr>
        <w:t>116,987,160</w:t>
      </w:r>
    </w:p>
    <w:p>
      <w:pPr>
        <w:spacing w:after="0" w:line="293" w:lineRule="exact"/>
        <w:rPr>
          <w:sz w:val="20"/>
          <w:szCs w:val="20"/>
          <w:color w:val="auto"/>
        </w:rPr>
      </w:pPr>
    </w:p>
    <w:p>
      <w:pPr>
        <w:ind w:left="1284" w:hanging="1284"/>
        <w:spacing w:after="0"/>
        <w:tabs>
          <w:tab w:leader="none" w:pos="12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160,302,793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40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tabs>
          <w:tab w:leader="none" w:pos="1663"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25,966</w:t>
      </w:r>
    </w:p>
    <w:p>
      <w:pPr>
        <w:spacing w:after="0" w:line="27" w:lineRule="exact"/>
        <w:rPr>
          <w:sz w:val="20"/>
          <w:szCs w:val="20"/>
          <w:color w:val="auto"/>
        </w:rPr>
      </w:pPr>
    </w:p>
    <w:p>
      <w:pPr>
        <w:ind w:left="1284"/>
        <w:spacing w:after="0"/>
        <w:rPr>
          <w:sz w:val="20"/>
          <w:szCs w:val="20"/>
          <w:color w:val="auto"/>
        </w:rPr>
      </w:pPr>
      <w:r>
        <w:rPr>
          <w:rFonts w:ascii="Times New Roman" w:cs="Times New Roman" w:eastAsia="Times New Roman" w:hAnsi="Times New Roman"/>
          <w:sz w:val="18"/>
          <w:szCs w:val="18"/>
          <w:color w:val="auto"/>
        </w:rPr>
        <w:t>230,585,385</w:t>
      </w:r>
    </w:p>
    <w:p>
      <w:pPr>
        <w:spacing w:after="0" w:line="23"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7"/>
          <w:szCs w:val="17"/>
          <w:color w:val="auto"/>
        </w:rPr>
        <w:t>(70,308,558)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440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3" w:lineRule="exact"/>
        <w:rPr>
          <w:sz w:val="20"/>
          <w:szCs w:val="20"/>
          <w:color w:val="auto"/>
        </w:rPr>
      </w:pPr>
    </w:p>
    <w:p>
      <w:pPr>
        <w:ind w:left="1284" w:hanging="1284"/>
        <w:spacing w:after="0"/>
        <w:tabs>
          <w:tab w:leader="none" w:pos="12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160,302,793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4401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286" w:lineRule="exact"/>
        <w:rPr>
          <w:sz w:val="20"/>
          <w:szCs w:val="20"/>
          <w:color w:val="auto"/>
        </w:rPr>
      </w:pPr>
    </w:p>
    <w:p>
      <w:pPr>
        <w:ind w:left="4"/>
        <w:spacing w:after="0"/>
        <w:tabs>
          <w:tab w:leader="none" w:pos="1843"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6.17</w:t>
      </w:r>
    </w:p>
    <w:p>
      <w:pPr>
        <w:sectPr>
          <w:pgSz w:w="11900" w:h="16838" w:orient="portrait"/>
          <w:cols w:equalWidth="0" w:num="2">
            <w:col w:w="8256" w:space="720"/>
            <w:col w:w="2224"/>
          </w:cols>
          <w:pgMar w:left="320" w:top="144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OFS Credit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9"/>
                <w:szCs w:val="19"/>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April 30, 2025</w:t>
            </w:r>
          </w:p>
        </w:tc>
        <w:tc>
          <w:tcPr>
            <w:tcW w:w="220" w:type="dxa"/>
            <w:vAlign w:val="bottom"/>
          </w:tcPr>
          <w:p>
            <w:pPr>
              <w:spacing w:after="0"/>
              <w:rPr>
                <w:sz w:val="20"/>
                <w:szCs w:val="20"/>
                <w:color w:val="auto"/>
              </w:rPr>
            </w:pP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April 30, 2025</w:t>
            </w: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6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30"/>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10,243,605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20,302,718</w:t>
            </w:r>
          </w:p>
        </w:tc>
      </w:tr>
      <w:tr>
        <w:trPr>
          <w:trHeight w:val="216"/>
        </w:trPr>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3,396,329</w:t>
            </w:r>
          </w:p>
        </w:tc>
      </w:tr>
      <w:tr>
        <w:trPr>
          <w:trHeight w:val="229"/>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Incentive fees</w:t>
            </w: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2,580,789</w:t>
            </w:r>
          </w:p>
        </w:tc>
      </w:tr>
      <w:tr>
        <w:trPr>
          <w:trHeight w:val="229"/>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Base management fees</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2,346,048</w:t>
            </w:r>
          </w:p>
        </w:tc>
      </w:tr>
      <w:tr>
        <w:trPr>
          <w:trHeight w:val="230"/>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Administration fees</w:t>
            </w: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683,562</w:t>
            </w:r>
          </w:p>
        </w:tc>
      </w:tr>
      <w:tr>
        <w:trPr>
          <w:trHeight w:val="229"/>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521,117</w:t>
            </w:r>
          </w:p>
        </w:tc>
      </w:tr>
      <w:tr>
        <w:trPr>
          <w:trHeight w:val="229"/>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451,715</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9,979,560</w:t>
            </w:r>
          </w:p>
        </w:tc>
      </w:tr>
      <w:tr>
        <w:trPr>
          <w:trHeight w:val="196"/>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5,172,411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10,323,158</w:t>
            </w:r>
          </w:p>
        </w:tc>
      </w:tr>
      <w:tr>
        <w:trPr>
          <w:trHeight w:val="196"/>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realized and unrealized gain (loss) on investments:</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(840,691)</w:t>
            </w:r>
          </w:p>
        </w:tc>
      </w:tr>
      <w:tr>
        <w:trPr>
          <w:trHeight w:val="229"/>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 in unrealized depreciation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(16,881,760)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(18,257,792)</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on investments</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(17,750,421)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(19,098,483)</w:t>
            </w:r>
          </w:p>
        </w:tc>
      </w:tr>
      <w:tr>
        <w:trPr>
          <w:trHeight w:val="196"/>
        </w:trPr>
        <w:tc>
          <w:tcPr>
            <w:tcW w:w="6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net assets resulting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(12,578,010)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(8,775,325)</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25,197,302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23,568,187</w:t>
            </w:r>
          </w:p>
        </w:tc>
      </w:tr>
    </w:tbl>
    <w:p>
      <w:pPr>
        <w:sectPr>
          <w:pgSz w:w="11900" w:h="16838" w:orient="portrait"/>
          <w:cols w:equalWidth="0" w:num="1">
            <w:col w:w="11220"/>
          </w:cols>
          <w:pgMar w:left="320" w:top="108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Supplemental Information Regarding Core Net Investment Income</w:t>
      </w:r>
    </w:p>
    <w:p>
      <w:pPr>
        <w:spacing w:after="0" w:line="197"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We provide information relating to Core NII (a non-GAAP measure) on a supplemental basis. This measure is not provided as a substitute for GAAP NII, but in addition to it. Our non-GAAP measures may differ from similar measures by other companies, even if similar terms are used to identify such measures. Core NII represents GAAP NII adjusted for differences in applicable cash distributions received on our CLO equity and equity-related investments that have not been optionally redeemed relative to income recognized in accordance with GAAP. OFS Capital Management, LLC, our investment adviser, uses this information in its internal analysis of results and believes that this information may be informative in gauging the quality of the Company’s financial performance, identifying trends in its results, and providing meaningful period-to-period comparisons.</w:t>
      </w:r>
    </w:p>
    <w:p>
      <w:pPr>
        <w:spacing w:after="0" w:line="18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Income from investments in the “equity” class securities of CLO vehicles, for GAAP purposes, is recorded using the effective interest method; this is based on an estimated effective yield, at current amortized cost, to the expected redemption of the security utilizing assumed cash flows, including those CLO equity investments that have not made their inaugural distribution for the relevant period end. The result is an estimated effective yield for the investment in which the respective investment’s cost basis is adjusted quarterly based on the difference between the actual cash received, or distributions entitled to be received, and the income recognized via the estimated effective yield calculation. Accordingly, investment income recognized on CLO equity and equity-related securities in the GAAP statement of operations differs from the cash distributions actually received by the Company during the period (referred to below as “CLO equity adjustments”). Therefore, management believes that Core NII may provide a useful indicator of distributable operating income, as this reflects a measure of potential cash availability, net of operating expenses, that could be utilized to cover distributions to common stockholders. We note that this non-GAAP measure has no bearing on the tax character of the common stock distributions made during the period, and future distributions are not guaranteed. A portion of current and future common stock distributions may consist of a return of capital for tax purposes. The actual tax character of our earnings cannot be finally determined until our tax return is prepared after the close of our taxable year.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GAAP NII to Core NII for the fiscal quarters ended April 30, 2025 and January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Fiscal Quarter Ended April 30,</w:t>
            </w:r>
          </w:p>
        </w:tc>
        <w:tc>
          <w:tcPr>
            <w:tcW w:w="33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Fiscal Quarter Ended January 31,</w:t>
            </w: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Per Common Share</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b w:val="1"/>
                <w:bCs w:val="1"/>
                <w:color w:val="auto"/>
              </w:rPr>
              <w:t>Per Common Share</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5,172,411</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5,150,747</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 equity adjustments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4,049,003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2,365,893</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NII</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9,221,414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7,516,640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GAAP NII to Core NII for the six months ended April 30, 2025 and 2024:</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For the Six Months Ended April 30,</w:t>
            </w:r>
          </w:p>
        </w:tc>
        <w:tc>
          <w:tcPr>
            <w:tcW w:w="100" w:type="dxa"/>
            <w:vAlign w:val="bottom"/>
          </w:tcPr>
          <w:p>
            <w:pPr>
              <w:spacing w:after="0"/>
              <w:rPr>
                <w:sz w:val="16"/>
                <w:szCs w:val="16"/>
                <w:color w:val="auto"/>
              </w:rPr>
            </w:pPr>
          </w:p>
        </w:tc>
        <w:tc>
          <w:tcPr>
            <w:tcW w:w="2860" w:type="dxa"/>
            <w:vAlign w:val="bottom"/>
            <w:gridSpan w:val="4"/>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the Six Months Ended April 30,</w:t>
            </w: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4"/>
                <w:szCs w:val="14"/>
                <w:color w:val="auto"/>
              </w:rPr>
            </w:pPr>
          </w:p>
        </w:tc>
        <w:tc>
          <w:tcPr>
            <w:tcW w:w="1280" w:type="dxa"/>
            <w:vAlign w:val="bottom"/>
          </w:tcPr>
          <w:p>
            <w:pPr>
              <w:jc w:val="center"/>
              <w:ind w:right="30"/>
              <w:spacing w:after="0" w:line="171" w:lineRule="exact"/>
              <w:rPr>
                <w:sz w:val="20"/>
                <w:szCs w:val="20"/>
                <w:color w:val="auto"/>
              </w:rPr>
            </w:pPr>
            <w:r>
              <w:rPr>
                <w:rFonts w:ascii="Times New Roman" w:cs="Times New Roman" w:eastAsia="Times New Roman" w:hAnsi="Times New Roman"/>
                <w:sz w:val="18"/>
                <w:szCs w:val="18"/>
                <w:b w:val="1"/>
                <w:bCs w:val="1"/>
                <w:color w:val="auto"/>
              </w:rPr>
              <w:t>Per Common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4"/>
                <w:szCs w:val="14"/>
                <w:color w:val="auto"/>
              </w:rPr>
            </w:pPr>
          </w:p>
        </w:tc>
        <w:tc>
          <w:tcPr>
            <w:tcW w:w="1280" w:type="dxa"/>
            <w:vAlign w:val="bottom"/>
          </w:tcPr>
          <w:p>
            <w:pPr>
              <w:jc w:val="right"/>
              <w:ind w:right="110"/>
              <w:spacing w:after="0" w:line="171" w:lineRule="exact"/>
              <w:rPr>
                <w:sz w:val="20"/>
                <w:szCs w:val="20"/>
                <w:color w:val="auto"/>
              </w:rPr>
            </w:pPr>
            <w:r>
              <w:rPr>
                <w:rFonts w:ascii="Times New Roman" w:cs="Times New Roman" w:eastAsia="Times New Roman" w:hAnsi="Times New Roman"/>
                <w:sz w:val="18"/>
                <w:szCs w:val="18"/>
                <w:b w:val="1"/>
                <w:bCs w:val="1"/>
                <w:color w:val="auto"/>
              </w:rPr>
              <w:t>Per Common</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10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10,323,158</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9,093,433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 equity adjustments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6,414,896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6,564,403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NII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16,738,054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15,657,836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INCORPORATION BY REFERENCE</w:t>
      </w: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our semi-annual report on Form N-CSR for the six month period ended April 30, 2025 (filed with the SEC on June 10, 2025). Any statement contained in such semi-annual report on Form N-CSR shall be deemed to be modified or superseded for purposes of this prospectus supplement to the extent that a statement contained in this prospectus supplement modifies or supersedes such statement in such semi-annual report on Form N-CSR.</w:t>
      </w:r>
    </w:p>
    <w:sectPr>
      <w:pgSz w:w="11900" w:h="16838" w:orient="portrait"/>
      <w:cols w:equalWidth="0" w:num="1">
        <w:col w:w="11240"/>
      </w:cols>
      <w:pgMar w:left="320" w:top="13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6"/>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2025-06-11T16:09:21Z</dcterms:created>
  <dcterms:modified xsi:type="dcterms:W3CDTF">2025-06-11T16:09:21Z</dcterms:modified>
</cp:coreProperties>
</file>