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8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 No. 333-277773</w:t>
            </w:r>
          </w:p>
        </w:tc>
        <w:tc>
          <w:tcPr>
            <w:tcW w:w="0" w:type="dxa"/>
            <w:vAlign w:val="bottom"/>
          </w:tcPr>
          <w:p>
            <w:pPr>
              <w:spacing w:after="0"/>
              <w:rPr>
                <w:sz w:val="1"/>
                <w:szCs w:val="1"/>
                <w:color w:val="auto"/>
              </w:rPr>
            </w:pPr>
          </w:p>
        </w:tc>
      </w:tr>
      <w:tr>
        <w:trPr>
          <w:trHeight w:val="297"/>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514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March 16, 2026</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 May 29, 2024)</w:t>
            </w:r>
          </w:p>
        </w:tc>
        <w:tc>
          <w:tcPr>
            <w:tcW w:w="5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OFS Credit Company, Inc.</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$200,000,000</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4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May 29, 2024, as amended and supplemented to date (the “Prospectus”), which relate to the sale of shares of common stock of OFS Credit Company, Inc. in an “at the market offering” pursuant to an equity distribution agreement, dated January 24, 2020, as amended by Amendment No. 1 thereto, dated March 16, 2021, Amendment No. 2 thereto, dated April 22, 2021, Amendment No. 3 thereto, dated June 8, 2021, Amendment No. 4 thereto, dated December 7, 2021, Amendment No. 5 thereto, dated August 15, 2023, Amendment No. 6 thereto, dated June 12, 2024 and Amendment No. 7 thereto, dated March 14, 2025, with Lucid Capital Markets LLC and Ladenburg Thalmann &amp; Co. Inc. (the “Equity Distribution Agreement”). The disclosure in this prospectus supplement supersedes disclosure elsewhere in the Prospectus to the extent such disclosure is inconsistent with the disclosure herein.</w:t>
      </w:r>
    </w:p>
    <w:p>
      <w:pPr>
        <w:spacing w:after="0" w:line="117" w:lineRule="exact"/>
        <w:rPr>
          <w:sz w:val="24"/>
          <w:szCs w:val="24"/>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You should carefully read the entire Prospectus before investing in our common stock. </w:t>
      </w:r>
      <w:r>
        <w:rPr>
          <w:rFonts w:ascii="Times New Roman" w:cs="Times New Roman" w:eastAsia="Times New Roman" w:hAnsi="Times New Roman"/>
          <w:sz w:val="18"/>
          <w:szCs w:val="18"/>
          <w:b w:val="1"/>
          <w:bCs w:val="1"/>
          <w:color w:val="auto"/>
        </w:rPr>
        <w:t>You should also review the information set forth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 Factors” section beginning on page 22 of the Base Prospectus.</w:t>
      </w:r>
    </w:p>
    <w:p>
      <w:pPr>
        <w:spacing w:after="0" w:line="9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“OFS Credit,” the “Company,” “we,” “us” and “our” generally refer to OFS Credit Company, Inc.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SALES PURSUANT TO THE “AT THE MARKET” OFFERING</w:t>
      </w:r>
    </w:p>
    <w:p>
      <w:pPr>
        <w:spacing w:after="0" w:line="148" w:lineRule="exact"/>
        <w:rPr>
          <w:sz w:val="24"/>
          <w:szCs w:val="24"/>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From January 24, 2020 to March 13, 2026, we sold a total of 18,650,257 shares of common stock at a weighted average price of $8.30 per share under the Equity Distribution Agreement (the “At-the-Market Offering”). The net proceeds as a result of these sales of common stock were approximately $153.1 million after deducting commissions and fees.</w:t>
      </w:r>
    </w:p>
    <w:p>
      <w:pPr>
        <w:spacing w:after="0" w:line="68" w:lineRule="exact"/>
        <w:rPr>
          <w:sz w:val="24"/>
          <w:szCs w:val="24"/>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Pursuant to Amendment No. 2 to the Equity Distribution Agreement, the aggregate offering price of the At-the-Market Offering was increased to up to $50.0 million. Pursuant to Amendment No. 4 to the Equity Distribution Agreement, the aggregate offering price of the At-the-Market offering was increased to up to $70.0 million. Pursuant to Amendment No. 5 to the Equity Distribution Agreement, the aggregate offering price of the At-the-Market offering was increased to up to $130.0 million. Pursuant to Amendment No. 6 to the Equity Distribution Agreement, the aggregate offering price of the At-the-Market offering was increased to up to $150.0 million. Pursuant to Amendment No. 7 to the Equity Distribution Agreement, the aggregate offering price of the At-the-Market offering was increased to up to $200.0 million (which amount includes all of the shares previously sold pursuant to the Equity Distribution Agreement to date). OFS Capital Management, LLC, our investment adviser, may, from time to time and in its sole discretion, pay some or all of the commissions payable under the Equity Distribution Agreement or make additional supplemental payments to ensure that the sales price per share of our common stock in connection with the At-the-Market Offering made hereunder will not be less than our current net asset value per share. Any such payments made by the investment adviser will not be subject to reimbursement by us.</w:t>
      </w:r>
    </w:p>
    <w:p>
      <w:pPr>
        <w:sectPr>
          <w:pgSz w:w="11900" w:h="16838" w:orient="portrait"/>
          <w:cols w:equalWidth="0" w:num="1">
            <w:col w:w="11240"/>
          </w:cols>
          <w:pgMar w:left="320" w:top="873" w:right="339" w:bottom="1440" w:gutter="0" w:footer="0" w:header="0"/>
        </w:sectPr>
      </w:pPr>
    </w:p>
    <w:bookmarkStart w:id="1" w:name="page2"/>
    <w:bookmarkEnd w:id="1"/>
    <w:p>
      <w:pPr>
        <w:ind w:left="4580"/>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February 2026 Financial Update</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16, 2026, we announced that management’s unaudited estimate of the range of our net asset value (“NAV”) per share of our common stock as of February 28, 2026 is between $3.94 and $4.04. This estimate is not a comprehensive statement of our financial condition or results for the month ended February 28, 2026. This estimate did not undergo the Company’s typical quarter-end financial closing procedures. We advise you that current estimates of our NAV per share may differ materially from future NAV estimates or determinations, including the determination for the period ending April 30, 2026, which will be reported in our Semi-Annual Report on Form N-CSRS.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financial condition, including the fair value of our portfolio investments, and results of operations may be materially impacted after February 28, 2026 by circumstances and events that are not yet known. To the extent our portfolio investments are adversely impacted by interest rate and inflation rate changes, the ongoing war between Russia and Ukraine, the escalated armed conflict and heightened regional tensions in the Middle East, activity in South America, the agenda of the U.S. Presidential administration, including the impact of tariff enactment and tax reductions, trade disputes with other countries, instability in the U.S. and international banking systems, the risk of recession or the impact of the prolonged shutdown of U.S. government services and related market volatility, or by other factors, we may experience a material adverse impact on our future NAV, net investment income (“NII”), the underlying value of our investments, our financial condition and the financial condition of our portfolio investments.</w:t>
      </w:r>
    </w:p>
    <w:p>
      <w:pPr>
        <w:spacing w:after="0" w:line="135"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The preliminary financial data included in this February 2026 Financial Update has been prepared by, and is the responsibility of, OFS Credit’s management. KPMG LLP has not audited, reviewed, compiled, or applied agreed-upon procedures with respect to the preliminary financial data. Accordingly, KPMG LLP does not express an opinion or any other form of assurance with respect thereto.</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QUARTER 2026 HIGHLIGHTS AND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HIGHLIGHTS</w:t>
      </w:r>
    </w:p>
    <w:p>
      <w:pPr>
        <w:spacing w:after="0" w:line="67" w:lineRule="exact"/>
        <w:rPr>
          <w:sz w:val="20"/>
          <w:szCs w:val="20"/>
          <w:color w:val="auto"/>
        </w:rPr>
      </w:pPr>
    </w:p>
    <w:p>
      <w:pPr>
        <w:ind w:left="660" w:right="120" w:hanging="328"/>
        <w:spacing w:after="0" w:line="245"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NII of $5.5 million, or $0.19 per common share, for the fiscal quarter ended January 31, 2026. This compares to NII of $6.2 million, or $0.22 per common share, for the fiscal quarter ended October 31, 2025. NII decreased for the fiscal quarter ended January 31, 2026, primarily due to a decrease in the interest income yield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on our investment portfolio.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additional information under “Results of Operations” below.</w:t>
      </w:r>
    </w:p>
    <w:p>
      <w:pPr>
        <w:spacing w:after="0" w:line="2" w:lineRule="exact"/>
        <w:rPr>
          <w:rFonts w:ascii="Times New Roman" w:cs="Times New Roman" w:eastAsia="Times New Roman" w:hAnsi="Times New Roman"/>
          <w:sz w:val="18"/>
          <w:szCs w:val="18"/>
          <w:color w:val="auto"/>
        </w:rPr>
      </w:pPr>
    </w:p>
    <w:p>
      <w:pPr>
        <w:ind w:left="660" w:right="80" w:hanging="328"/>
        <w:spacing w:after="0" w:line="22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net investment income (“Core NII”)</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$9.1 million, or $0.32 per common share, for the fiscal quarter ended January 31, 2026. This compares to Core NII of $8.8 million, or $0.32 per common share, for the fiscal quarter ended October 31, 2025. Core NII increased for the fiscal quarter ended January 31, 2026, due to a modest increase in recurring CLO equity investment cashflows, while Core NII per common share was stable.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additional information under “Supplemental Information Regarding Core Net Investment Income” below.</w:t>
      </w:r>
    </w:p>
    <w:p>
      <w:pPr>
        <w:spacing w:after="0" w:line="3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NAV per common share of $4.36 at January 31, 2026, a decrease of $1.10 from NAV of $5.46 at October 31, 2025. The decrease in NAV was primarily due to a net loss on investments of $0.96 per common share and distributions of $0.345 per common share paid during the quarter which exceeded our quarterly NII of $0.19 per common share.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additional information under “Results of Operations” below.</w:t>
      </w:r>
    </w:p>
    <w:p>
      <w:pPr>
        <w:spacing w:after="0" w:line="28" w:lineRule="exact"/>
        <w:rPr>
          <w:rFonts w:ascii="Times New Roman" w:cs="Times New Roman" w:eastAsia="Times New Roman" w:hAnsi="Times New Roman"/>
          <w:sz w:val="18"/>
          <w:szCs w:val="18"/>
          <w:color w:val="auto"/>
        </w:rPr>
      </w:pPr>
    </w:p>
    <w:p>
      <w:pPr>
        <w:ind w:left="660" w:right="120" w:hanging="328"/>
        <w:spacing w:after="0" w:line="22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January 31, 2026, the interest income yield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our investment portfolio was 13.16%, based on average amortized cost.</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January 31, 2026, we issued 825,444 shares of common stock through our At-the-Market offering, for net proceeds of $4.1 million, after deducting commissions, fees and offering costs.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RECENT EVENTS</w:t>
      </w:r>
    </w:p>
    <w:p>
      <w:pPr>
        <w:spacing w:after="0" w:line="108" w:lineRule="exact"/>
        <w:rPr>
          <w:sz w:val="20"/>
          <w:szCs w:val="20"/>
          <w:color w:val="auto"/>
        </w:rPr>
      </w:pPr>
    </w:p>
    <w:p>
      <w:pPr>
        <w:ind w:left="660" w:right="20" w:hanging="328"/>
        <w:spacing w:after="0" w:line="23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2026, we caused notice to be issued to the holder of the Series D Term Preferred Stock regarding the exercise of our option to fully redeem the $3.0 million of issued and outstanding Series D Term Preferred Stock on February 27, 2026. On February 27, 2026, all outstanding shares of the Series D Term Preferred Stock were redeemed at 100% of their principal amount ($25 per share). In accordance with the provisions of the Certificate of Designation of the Series D Term Preferred Stock, dividends declared on the Series D Term Preferred Stock for the month of February 2026 were paid on the February 27, 2026 to the holder of record of the Series D Term Preferred Stock at the close of business on the record date, and were not paid as part of the redemption price.</w:t>
      </w:r>
    </w:p>
    <w:p>
      <w:pPr>
        <w:spacing w:after="0" w:line="77"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2026, we caused notices to be issued to the holders of the Series C Term Preferred Stock regarding the exercise of our option to partially redeem $5.0 million of the issued and outstanding Series C Term Preferred Stock on March 31, 2026. The Series C Term Preferred Stock will be redeemed at 100% of their principal amount ($25 per share). In accordance with the provisions of the Certificate of Designation of the Series C Term Preferred Stock, dividends declared on the Series C Preferred Shares for the month of March 2026 shall be paid on the dividend payment date to the</w:t>
      </w:r>
    </w:p>
    <w:p>
      <w:pPr>
        <w:sectPr>
          <w:pgSz w:w="11900" w:h="16838" w:orient="portrait"/>
          <w:cols w:equalWidth="0" w:num="1">
            <w:col w:w="11220"/>
          </w:cols>
          <w:pgMar w:left="320" w:top="909" w:right="359" w:bottom="1440" w:gutter="0" w:footer="0" w:header="0"/>
        </w:sectPr>
      </w:pPr>
    </w:p>
    <w:bookmarkStart w:id="2" w:name="page3"/>
    <w:bookmarkEnd w:id="2"/>
    <w:p>
      <w:pPr>
        <w:ind w:left="660" w:right="660"/>
        <w:spacing w:after="0" w:line="266" w:lineRule="auto"/>
        <w:rPr>
          <w:sz w:val="20"/>
          <w:szCs w:val="20"/>
          <w:color w:val="auto"/>
        </w:rPr>
      </w:pPr>
      <w:r>
        <w:rPr>
          <w:rFonts w:ascii="Times New Roman" w:cs="Times New Roman" w:eastAsia="Times New Roman" w:hAnsi="Times New Roman"/>
          <w:sz w:val="18"/>
          <w:szCs w:val="18"/>
          <w:color w:val="auto"/>
        </w:rPr>
        <w:t>holders of record of the Series C Term Preferred Stock at the close of business on the record date, and shall not be payable as part of the redemption price.</w:t>
      </w:r>
    </w:p>
    <w:p>
      <w:pPr>
        <w:spacing w:after="0" w:line="54" w:lineRule="exact"/>
        <w:rPr>
          <w:sz w:val="20"/>
          <w:szCs w:val="20"/>
          <w:color w:val="auto"/>
        </w:rPr>
      </w:pPr>
    </w:p>
    <w:p>
      <w:pPr>
        <w:jc w:val="both"/>
        <w:ind w:left="660" w:right="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previously announced, on February 23, 2026, our board of directors (the “Board”) declared monthly cash distributions of $0.05 per common share for the months of March and April 2026, which implies an annualized cash distribution rate of 18.9% based on the closing market price of $3.17 per common share on the declaration date.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additional information under “Distributions”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FINANCIAL HIGHLIGHTS</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At</w:t>
            </w:r>
          </w:p>
        </w:tc>
        <w:tc>
          <w:tcPr>
            <w:tcW w:w="2200" w:type="dxa"/>
            <w:vAlign w:val="bottom"/>
            <w:tcBorders>
              <w:bottom w:val="single" w:sz="8" w:color="auto"/>
            </w:tcBorders>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October 31, 2025</w:t>
            </w:r>
          </w:p>
        </w:tc>
      </w:tr>
      <w:tr>
        <w:trPr>
          <w:trHeight w:val="20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Highlights</w:t>
            </w: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235.9</w:t>
            </w:r>
          </w:p>
        </w:tc>
        <w:tc>
          <w:tcPr>
            <w:tcW w:w="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256.5</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 preferred stock - principal</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115.9</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w:t>
            </w:r>
          </w:p>
        </w:tc>
        <w:tc>
          <w:tcPr>
            <w:tcW w:w="340" w:type="dxa"/>
            <w:vAlign w:val="bottom"/>
          </w:tcPr>
          <w:p>
            <w:pPr>
              <w:spacing w:after="0"/>
              <w:rPr>
                <w:sz w:val="19"/>
                <w:szCs w:val="19"/>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 per common share</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5.46</w:t>
            </w:r>
          </w:p>
        </w:tc>
      </w:tr>
      <w:tr>
        <w:trPr>
          <w:trHeight w:val="30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coverage ratio</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209.4 %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232.0 %</w:t>
            </w: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Highlights</w:t>
            </w:r>
          </w:p>
        </w:tc>
        <w:tc>
          <w:tcPr>
            <w:tcW w:w="34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For the Fiscal Quarter Ended</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w:t>
            </w:r>
          </w:p>
        </w:tc>
        <w:tc>
          <w:tcPr>
            <w:tcW w:w="34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October 31, 2025</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tcPr>
          <w:p>
            <w:pPr>
              <w:jc w:val="center"/>
              <w:ind w:left="1530"/>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rPr>
              <w:t>0.22</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340" w:type="dxa"/>
            <w:vAlign w:val="bottom"/>
            <w:shd w:val="clear" w:color="auto" w:fill="CCEEFF"/>
          </w:tcPr>
          <w:p>
            <w:pPr>
              <w:spacing w:after="0"/>
              <w:rPr>
                <w:sz w:val="19"/>
                <w:szCs w:val="19"/>
                <w:color w:val="auto"/>
              </w:rPr>
            </w:pPr>
          </w:p>
        </w:tc>
        <w:tc>
          <w:tcPr>
            <w:tcW w:w="210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6"/>
              </w:rPr>
              <w:t>(0.02)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center"/>
              <w:ind w:left="1510"/>
              <w:spacing w:after="0"/>
              <w:rPr>
                <w:sz w:val="20"/>
                <w:szCs w:val="20"/>
                <w:color w:val="auto"/>
              </w:rPr>
            </w:pPr>
            <w:r>
              <w:rPr>
                <w:rFonts w:ascii="Times New Roman" w:cs="Times New Roman" w:eastAsia="Times New Roman" w:hAnsi="Times New Roman"/>
                <w:sz w:val="18"/>
                <w:szCs w:val="18"/>
                <w:color w:val="auto"/>
                <w:w w:val="96"/>
              </w:rPr>
              <w:t>(0.94)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left="1450"/>
              <w:spacing w:after="0"/>
              <w:rPr>
                <w:sz w:val="20"/>
                <w:szCs w:val="20"/>
                <w:color w:val="auto"/>
              </w:rPr>
            </w:pPr>
            <w:r>
              <w:rPr>
                <w:rFonts w:ascii="Times New Roman" w:cs="Times New Roman" w:eastAsia="Times New Roman" w:hAnsi="Times New Roman"/>
                <w:sz w:val="18"/>
                <w:szCs w:val="18"/>
                <w:color w:val="auto"/>
              </w:rPr>
              <w:t>(0.52)</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6"/>
              </w:rPr>
              <w:t>(0.77)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rPr>
              <w:t>(0.33)</w:t>
            </w:r>
          </w:p>
        </w:tc>
      </w:tr>
      <w:tr>
        <w:trPr>
          <w:trHeight w:val="250"/>
        </w:trPr>
        <w:tc>
          <w:tcPr>
            <w:tcW w:w="6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Reconciliation of Core NII — Non-GAAP</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0.22</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equity adjustments</w:t>
            </w:r>
          </w:p>
        </w:tc>
        <w:tc>
          <w:tcPr>
            <w:tcW w:w="3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rPr>
              <w:t>0.10</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NII</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center"/>
              <w:ind w:left="1530"/>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ACTIVITIES</w:t>
      </w:r>
    </w:p>
    <w:p>
      <w:pPr>
        <w:spacing w:after="0" w:line="10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As of January 31, 2026, the total fair value of our investment portfolio was $235.9 million, which was equal to 71.2% of amortized cost. For the quarter ended January 31, 2026, our CLO equity cash flow yield</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was 17.40% based on amortized cost.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At</w:t>
            </w:r>
          </w:p>
        </w:tc>
        <w:tc>
          <w:tcPr>
            <w:tcW w:w="230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Portfolio Overview ($ in millions)</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October 31, 2025</w:t>
            </w:r>
          </w:p>
        </w:tc>
      </w:tr>
      <w:tr>
        <w:trPr>
          <w:trHeight w:val="33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235.9</w:t>
            </w:r>
          </w:p>
        </w:tc>
        <w:tc>
          <w:tcPr>
            <w:tcW w:w="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256.5</w:t>
            </w:r>
          </w:p>
        </w:tc>
      </w:tr>
      <w:tr>
        <w:trPr>
          <w:trHeight w:val="108"/>
        </w:trPr>
        <w:tc>
          <w:tcPr>
            <w:tcW w:w="5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number of issuers</w:t>
            </w:r>
          </w:p>
        </w:tc>
        <w:tc>
          <w:tcPr>
            <w:tcW w:w="400" w:type="dxa"/>
            <w:vAlign w:val="bottom"/>
          </w:tcPr>
          <w:p>
            <w:pPr>
              <w:spacing w:after="0"/>
              <w:rPr>
                <w:sz w:val="19"/>
                <w:szCs w:val="19"/>
                <w:color w:val="auto"/>
              </w:rPr>
            </w:pPr>
          </w:p>
        </w:tc>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r>
      <w:tr>
        <w:trPr>
          <w:trHeight w:val="40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effective yield</w:t>
            </w:r>
            <w:r>
              <w:rPr>
                <w:rFonts w:ascii="Times New Roman" w:cs="Times New Roman" w:eastAsia="Times New Roman" w:hAnsi="Times New Roman"/>
                <w:sz w:val="23"/>
                <w:szCs w:val="23"/>
                <w:color w:val="auto"/>
                <w:vertAlign w:val="superscript"/>
              </w:rPr>
              <w:t>5</w:t>
            </w:r>
          </w:p>
        </w:tc>
        <w:tc>
          <w:tcPr>
            <w:tcW w:w="400" w:type="dxa"/>
            <w:vAlign w:val="bottom"/>
            <w:shd w:val="clear" w:color="auto" w:fill="CCEEFF"/>
          </w:tcPr>
          <w:p>
            <w:pPr>
              <w:spacing w:after="0"/>
              <w:rPr>
                <w:sz w:val="24"/>
                <w:szCs w:val="24"/>
                <w:color w:val="auto"/>
              </w:rPr>
            </w:pPr>
          </w:p>
        </w:tc>
        <w:tc>
          <w:tcPr>
            <w:tcW w:w="232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w w:val="99"/>
              </w:rPr>
              <w:t>12.39 %</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30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99"/>
              </w:rPr>
              <w:t>13.02 %</w:t>
            </w:r>
          </w:p>
        </w:tc>
      </w:tr>
      <w:tr>
        <w:trPr>
          <w:trHeight w:val="39"/>
        </w:trPr>
        <w:tc>
          <w:tcPr>
            <w:tcW w:w="5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gridSpan w:val="4"/>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For the Fiscal Quarter Ended</w:t>
            </w: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Portfolio Purchases ($ in millions)</w:t>
            </w:r>
          </w:p>
        </w:tc>
        <w:tc>
          <w:tcPr>
            <w:tcW w:w="400" w:type="dxa"/>
            <w:vAlign w:val="bottom"/>
          </w:tcPr>
          <w:p>
            <w:pPr>
              <w:spacing w:after="0"/>
              <w:rPr>
                <w:sz w:val="19"/>
                <w:szCs w:val="19"/>
                <w:color w:val="auto"/>
              </w:rPr>
            </w:pPr>
          </w:p>
        </w:tc>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380" w:type="dxa"/>
            <w:vAlign w:val="bottom"/>
          </w:tcPr>
          <w:p>
            <w:pPr>
              <w:spacing w:after="0"/>
              <w:rPr>
                <w:sz w:val="19"/>
                <w:szCs w:val="19"/>
                <w:color w:val="auto"/>
              </w:rPr>
            </w:pPr>
          </w:p>
        </w:tc>
        <w:tc>
          <w:tcPr>
            <w:tcW w:w="2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October 31, 2025</w:t>
            </w:r>
          </w:p>
        </w:tc>
      </w:tr>
      <w:tr>
        <w:trPr>
          <w:trHeight w:val="223"/>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equity investments</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debt investments</w:t>
            </w:r>
          </w:p>
        </w:tc>
        <w:tc>
          <w:tcPr>
            <w:tcW w:w="400" w:type="dxa"/>
            <w:vAlign w:val="bottom"/>
          </w:tcPr>
          <w:p>
            <w:pPr>
              <w:spacing w:after="0"/>
              <w:rPr>
                <w:sz w:val="19"/>
                <w:szCs w:val="19"/>
                <w:color w:val="auto"/>
              </w:rPr>
            </w:pPr>
          </w:p>
        </w:tc>
        <w:tc>
          <w:tcPr>
            <w:tcW w:w="2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accumulation facility investments</w:t>
            </w: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CLO equity-related investments (i.e., fee rebates)</w:t>
            </w:r>
          </w:p>
        </w:tc>
        <w:tc>
          <w:tcPr>
            <w:tcW w:w="400" w:type="dxa"/>
            <w:vAlign w:val="bottom"/>
          </w:tcPr>
          <w:p>
            <w:pPr>
              <w:spacing w:after="0"/>
              <w:rPr>
                <w:sz w:val="19"/>
                <w:szCs w:val="19"/>
                <w:color w:val="auto"/>
              </w:rPr>
            </w:pPr>
          </w:p>
        </w:tc>
        <w:tc>
          <w:tcPr>
            <w:tcW w:w="2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2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effective yield - period end</w:t>
            </w: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15.48 %</w:t>
            </w:r>
          </w:p>
        </w:tc>
      </w:tr>
    </w:tbl>
    <w:p>
      <w:pPr>
        <w:sectPr>
          <w:pgSz w:w="11900" w:h="16838" w:orient="portrait"/>
          <w:cols w:equalWidth="0" w:num="1">
            <w:col w:w="11100"/>
          </w:cols>
          <w:pgMar w:left="320" w:top="756" w:right="4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At January 31, 2026</w:t>
            </w:r>
          </w:p>
        </w:tc>
        <w:tc>
          <w:tcPr>
            <w:tcW w:w="1760" w:type="dxa"/>
            <w:vAlign w:val="bottom"/>
            <w:tcBorders>
              <w:bottom w:val="single" w:sz="8" w:color="auto"/>
            </w:tcBorders>
          </w:tcPr>
          <w:p>
            <w:pPr>
              <w:spacing w:after="0"/>
              <w:rPr>
                <w:sz w:val="20"/>
                <w:szCs w:val="20"/>
                <w:color w:val="auto"/>
              </w:rPr>
            </w:pP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Portfolio Composition ($ in millions)</w:t>
            </w:r>
          </w:p>
        </w:tc>
        <w:tc>
          <w:tcPr>
            <w:tcW w:w="420" w:type="dxa"/>
            <w:vAlign w:val="bottom"/>
          </w:tcPr>
          <w:p>
            <w:pPr>
              <w:spacing w:after="0"/>
              <w:rPr>
                <w:sz w:val="19"/>
                <w:szCs w:val="19"/>
                <w:color w:val="auto"/>
              </w:rPr>
            </w:pPr>
          </w:p>
        </w:tc>
        <w:tc>
          <w:tcPr>
            <w:tcW w:w="2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780" w:type="dxa"/>
            <w:vAlign w:val="bottom"/>
          </w:tcPr>
          <w:p>
            <w:pPr>
              <w:spacing w:after="0"/>
              <w:rPr>
                <w:sz w:val="19"/>
                <w:szCs w:val="19"/>
                <w:color w:val="auto"/>
              </w:rPr>
            </w:pPr>
          </w:p>
        </w:tc>
        <w:tc>
          <w:tcPr>
            <w:tcW w:w="17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equity investments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debt investments</w:t>
            </w:r>
          </w:p>
        </w:tc>
        <w:tc>
          <w:tcPr>
            <w:tcW w:w="4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accumulation facility investments</w:t>
            </w:r>
          </w:p>
        </w:tc>
        <w:tc>
          <w:tcPr>
            <w:tcW w:w="42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CLO equity-related investments (i.e., fee rebates)</w:t>
            </w:r>
          </w:p>
        </w:tc>
        <w:tc>
          <w:tcPr>
            <w:tcW w:w="4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0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During the fiscal quarter ended January 31, 2026, interest income decreased to $11.0 million from $12.0 million during the prior quarter. The decrease in interest income was primarily due to a decrease in the interest income yield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on our investment portfolio.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9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January 31, 2026, total expenses decreased by $0.3 million to $5.5 million, primarily due to an aggregate decrease of $0.3 million in base management and incentive fees.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 (Loss) on Investments</w:t>
      </w:r>
    </w:p>
    <w:p>
      <w:pPr>
        <w:spacing w:after="0" w:line="108"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During the fiscal quarter ended January 31, 2026, net loss on investments of $27.2 million was primarily due to net unrealized depreciation on our CLO equity investments of $26.3 million, primarily attributable to ongoing spread compression in underlying loan collateral, resulting weaker cashflow arbitrage, and declines in loan prices.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and April 2026 Common Stock Distributions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 applies to distributions for common stockholders of record on the close of business of each specific record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Distribution Per Share</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30"/>
        </w:trPr>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2026</w:t>
            </w:r>
          </w:p>
        </w:tc>
        <w:tc>
          <w:tcPr>
            <w:tcW w:w="8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16, 2026</w:t>
            </w:r>
          </w:p>
        </w:tc>
        <w:tc>
          <w:tcPr>
            <w:tcW w:w="10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c>
          <w:tcPr>
            <w:tcW w:w="8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r>
      <w:tr>
        <w:trPr>
          <w:trHeight w:val="234"/>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2026</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April 15, 2026</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April 30, 2026</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r>
    </w:tbl>
    <w:p>
      <w:pPr>
        <w:sectPr>
          <w:pgSz w:w="11900" w:h="16838" w:orient="portrait"/>
          <w:cols w:equalWidth="0" w:num="1">
            <w:col w:w="11240"/>
          </w:cols>
          <w:pgMar w:left="320" w:top="80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Assets and Liabilities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January 31, 2026</w:t>
            </w:r>
          </w:p>
        </w:tc>
        <w:tc>
          <w:tcPr>
            <w:tcW w:w="0" w:type="dxa"/>
            <w:vAlign w:val="bottom"/>
          </w:tcPr>
          <w:p>
            <w:pPr>
              <w:spacing w:after="0"/>
              <w:rPr>
                <w:sz w:val="1"/>
                <w:szCs w:val="1"/>
                <w:color w:val="auto"/>
              </w:rPr>
            </w:pPr>
          </w:p>
        </w:tc>
      </w:tr>
      <w:tr>
        <w:trPr>
          <w:trHeight w:val="209"/>
        </w:trPr>
        <w:tc>
          <w:tcPr>
            <w:tcW w:w="8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 (amortized cost of $331,435,941)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235,917,860</w:t>
            </w: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7,082,187</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for common stock sold</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660,572</w:t>
            </w: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703,982</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354,520</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244,719,121</w:t>
            </w:r>
          </w:p>
        </w:tc>
        <w:tc>
          <w:tcPr>
            <w:tcW w:w="0" w:type="dxa"/>
            <w:vAlign w:val="bottom"/>
          </w:tcPr>
          <w:p>
            <w:pPr>
              <w:spacing w:after="0"/>
              <w:rPr>
                <w:sz w:val="1"/>
                <w:szCs w:val="1"/>
                <w:color w:val="auto"/>
              </w:rPr>
            </w:pP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(net of deferred issuance costs of $1,782,539)</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114,117,461</w:t>
            </w: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adviser and affiliates</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3,230,068</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611,000</w:t>
            </w:r>
          </w:p>
        </w:tc>
        <w:tc>
          <w:tcPr>
            <w:tcW w:w="0" w:type="dxa"/>
            <w:vAlign w:val="bottom"/>
          </w:tcPr>
          <w:p>
            <w:pPr>
              <w:spacing w:after="0"/>
              <w:rPr>
                <w:sz w:val="1"/>
                <w:szCs w:val="1"/>
                <w:color w:val="auto"/>
              </w:rPr>
            </w:pPr>
          </w:p>
        </w:tc>
      </w:tr>
      <w:tr>
        <w:trPr>
          <w:trHeight w:val="223"/>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117,958,529</w:t>
            </w:r>
          </w:p>
        </w:tc>
        <w:tc>
          <w:tcPr>
            <w:tcW w:w="0" w:type="dxa"/>
            <w:vAlign w:val="bottom"/>
          </w:tcPr>
          <w:p>
            <w:pPr>
              <w:spacing w:after="0"/>
              <w:rPr>
                <w:sz w:val="1"/>
                <w:szCs w:val="1"/>
                <w:color w:val="auto"/>
              </w:rPr>
            </w:pPr>
          </w:p>
        </w:tc>
      </w:tr>
      <w:tr>
        <w:trPr>
          <w:trHeight w:val="250"/>
        </w:trPr>
        <w:tc>
          <w:tcPr>
            <w:tcW w:w="8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126,760,592</w:t>
            </w:r>
          </w:p>
        </w:tc>
        <w:tc>
          <w:tcPr>
            <w:tcW w:w="0" w:type="dxa"/>
            <w:vAlign w:val="bottom"/>
          </w:tcPr>
          <w:p>
            <w:pPr>
              <w:spacing w:after="0"/>
              <w:rPr>
                <w:sz w:val="1"/>
                <w:szCs w:val="1"/>
                <w:color w:val="auto"/>
              </w:rPr>
            </w:pP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consist of:</w:t>
            </w:r>
          </w:p>
        </w:tc>
        <w:tc>
          <w:tcPr>
            <w:tcW w:w="1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par value of $0.001 per share; 90,000,000 shares authorized and 29,088,071 shares issued and</w:t>
            </w:r>
          </w:p>
        </w:tc>
        <w:tc>
          <w:tcPr>
            <w:tcW w:w="16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29,088</w:t>
            </w:r>
          </w:p>
        </w:tc>
        <w:tc>
          <w:tcPr>
            <w:tcW w:w="0" w:type="dxa"/>
            <w:vAlign w:val="bottom"/>
          </w:tcPr>
          <w:p>
            <w:pPr>
              <w:spacing w:after="0"/>
              <w:rPr>
                <w:sz w:val="1"/>
                <w:szCs w:val="1"/>
                <w:color w:val="auto"/>
              </w:rPr>
            </w:pP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223,994,410</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losses</w:t>
            </w:r>
          </w:p>
        </w:tc>
        <w:tc>
          <w:tcPr>
            <w:tcW w:w="1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(97,262,906)</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126,760,592</w:t>
            </w:r>
          </w:p>
        </w:tc>
        <w:tc>
          <w:tcPr>
            <w:tcW w:w="0" w:type="dxa"/>
            <w:vAlign w:val="bottom"/>
          </w:tcPr>
          <w:p>
            <w:pPr>
              <w:spacing w:after="0"/>
              <w:rPr>
                <w:sz w:val="1"/>
                <w:szCs w:val="1"/>
                <w:color w:val="auto"/>
              </w:rPr>
            </w:pP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bl>
    <w:p>
      <w:pPr>
        <w:sectPr>
          <w:pgSz w:w="11900" w:h="16838" w:orient="portrait"/>
          <w:cols w:equalWidth="0" w:num="1">
            <w:col w:w="11100"/>
          </w:cols>
          <w:pgMar w:left="320" w:top="76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9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1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9"/>
        </w:trPr>
        <w:tc>
          <w:tcPr>
            <w:tcW w:w="9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10,979,551</w:t>
            </w: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9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2,166,643</w:t>
            </w:r>
          </w:p>
        </w:tc>
      </w:tr>
      <w:tr>
        <w:trPr>
          <w:trHeight w:val="230"/>
        </w:trPr>
        <w:tc>
          <w:tcPr>
            <w:tcW w:w="9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Incentive fees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1,369,623</w:t>
            </w:r>
          </w:p>
        </w:tc>
      </w:tr>
      <w:tr>
        <w:trPr>
          <w:trHeight w:val="229"/>
        </w:trPr>
        <w:tc>
          <w:tcPr>
            <w:tcW w:w="9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Base management fees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1,072,324</w:t>
            </w:r>
          </w:p>
        </w:tc>
      </w:tr>
      <w:tr>
        <w:trPr>
          <w:trHeight w:val="229"/>
        </w:trPr>
        <w:tc>
          <w:tcPr>
            <w:tcW w:w="9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Administration fees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387,106</w:t>
            </w:r>
          </w:p>
        </w:tc>
      </w:tr>
      <w:tr>
        <w:trPr>
          <w:trHeight w:val="230"/>
        </w:trPr>
        <w:tc>
          <w:tcPr>
            <w:tcW w:w="9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273,838</w:t>
            </w:r>
          </w:p>
        </w:tc>
      </w:tr>
      <w:tr>
        <w:trPr>
          <w:trHeight w:val="229"/>
        </w:trPr>
        <w:tc>
          <w:tcPr>
            <w:tcW w:w="9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231,524</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5,501,058</w:t>
            </w:r>
          </w:p>
        </w:tc>
      </w:tr>
      <w:tr>
        <w:trPr>
          <w:trHeight w:val="196"/>
        </w:trPr>
        <w:tc>
          <w:tcPr>
            <w:tcW w:w="9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5,478,493</w:t>
            </w:r>
          </w:p>
        </w:tc>
      </w:tr>
      <w:tr>
        <w:trPr>
          <w:trHeight w:val="196"/>
        </w:trPr>
        <w:tc>
          <w:tcPr>
            <w:tcW w:w="9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realized and unrealized gain (loss) on investments: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9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(611,927)</w:t>
            </w:r>
          </w:p>
        </w:tc>
      </w:tr>
      <w:tr>
        <w:trPr>
          <w:trHeight w:val="230"/>
        </w:trPr>
        <w:tc>
          <w:tcPr>
            <w:tcW w:w="9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(26,560,624)</w:t>
            </w:r>
          </w:p>
        </w:tc>
      </w:tr>
      <w:tr>
        <w:trPr>
          <w:trHeight w:val="223"/>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on investments</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(27,172,551)</w:t>
            </w:r>
          </w:p>
        </w:tc>
      </w:tr>
      <w:tr>
        <w:trPr>
          <w:trHeight w:val="196"/>
        </w:trPr>
        <w:tc>
          <w:tcPr>
            <w:tcW w:w="9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net assets resulting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(21,694,058)</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7"/>
        </w:trPr>
        <w:tc>
          <w:tcPr>
            <w:tcW w:w="9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28,221,045</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 Regarding Core Net Investment Income</w:t>
      </w:r>
    </w:p>
    <w:p>
      <w:pPr>
        <w:spacing w:after="0" w:line="162"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We provide information relating to Core NII (a non-GAAP measure) on a supplemental basis. This measure is not provided as a substitute for GAAP NII, but in addition to it. Our non-GAAP measures may differ from similar measures by other companies, even if similar terms are used to identify such measures. Core NII represents GAAP NII adjusted for differences in applicable cash distributions received on our CLO equity and equity-related investments that have not been optionally redeemed relative to income recognized in accordance with GAAP. OFS Capital Management, LLC, our investment adviser, uses this information in its internal analysis of results and believes that this information may be informative in gauging the quality of the Company’s financial performance, identifying trends in its results, and providing meaningful period-to-period comparisons.</w:t>
      </w:r>
    </w:p>
    <w:p>
      <w:pPr>
        <w:spacing w:after="0" w:line="7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Income from investments in the “equity” class securities of CLO vehicles, for GAAP purposes, is recorded using the effective interest method; this is based on an estimated effective yield, at current amortized cost, to the expected redemption of the security utilizing assumed cash flows, including those CLO equity investments that have not made their inaugural distribution for the relevant period end. The result is an estimated effective yield for the investment in which the respective investment’s cost basis is adjusted quarterly based on the difference between the actual cash received, or distributions entitled to be received, and the income recognized via the estimated effective yield calculation. Accordingly, investment income recognized on CLO equity and equity-related securities in the GAAP statement of operations differs from the cash distributions actually received by the Company during the period (referred to below as “CLO equity adjustments”). Therefore, management believes that Core NII may provide a useful indicator of distributable operating income, as this reflects a measure of potential cash availability, net of operating expenses, that could be utilized to cover distributions to common stockholders. We note that this non-GAAP measure has no bearing on the tax character of the common stock distributions made during the period, and future distributions are not guaranteed. A portion of current and future common stock distributions may consist of a return of capital for tax purposes. The actual tax character of our earnings cannot be finally determined until our tax return is prepared after the close of our taxable year.</w:t>
      </w:r>
    </w:p>
    <w:p>
      <w:pPr>
        <w:sectPr>
          <w:pgSz w:w="11900" w:h="16838" w:orient="portrait"/>
          <w:cols w:equalWidth="0" w:num="1">
            <w:col w:w="11220"/>
          </w:cols>
          <w:pgMar w:left="320" w:top="76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GAAP NII to Core NII for the fiscal quarters ended January 31, 2026 and October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Fiscal Quarter Ended January 31,</w:t>
            </w:r>
          </w:p>
        </w:tc>
        <w:tc>
          <w:tcPr>
            <w:tcW w:w="120" w:type="dxa"/>
            <w:vAlign w:val="bottom"/>
          </w:tcPr>
          <w:p>
            <w:pPr>
              <w:spacing w:after="0"/>
              <w:rPr>
                <w:sz w:val="17"/>
                <w:szCs w:val="17"/>
                <w:color w:val="auto"/>
              </w:rPr>
            </w:pPr>
          </w:p>
        </w:tc>
        <w:tc>
          <w:tcPr>
            <w:tcW w:w="33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For the Fiscal Quarter Ended October 31,</w:t>
            </w: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Per Common Share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Per Common Share</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5,478,493</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6,209,544</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CLO equity adjustments</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3,631,157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2,593,985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NII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9,109,650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8,803,529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2802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380" w:firstLine="8"/>
        <w:spacing w:after="0" w:line="229" w:lineRule="auto"/>
        <w:tabs>
          <w:tab w:leader="none" w:pos="8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 yield is calculated as total investment income earned on the investment portfolio (excluding idle cash interest income) divided by the average total investments at cost (annualized).</w:t>
      </w:r>
    </w:p>
    <w:p>
      <w:pPr>
        <w:spacing w:after="0" w:line="23" w:lineRule="exact"/>
        <w:rPr>
          <w:sz w:val="20"/>
          <w:szCs w:val="20"/>
          <w:color w:val="auto"/>
        </w:rPr>
      </w:pPr>
    </w:p>
    <w:p>
      <w:pPr>
        <w:ind w:right="20" w:firstLine="8"/>
        <w:spacing w:after="0" w:line="239" w:lineRule="auto"/>
        <w:tabs>
          <w:tab w:leader="none" w:pos="10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On a supplemental basis, we disclose Core NII, which is a financial measure calculated and presented on a basis of methodology other than in accordance with accounting principles generally accepted in the United States of America (“GAAP”). Core NII represents NII adjusted for differences in applicable cash distributions received on our CLO equity and equity-related investments that have not been optionally redeemed relative to income recognized in accordance with GAAP.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additional information under “Supplemental Information Regarding Core Net Investment Income” above.</w:t>
      </w:r>
    </w:p>
    <w:p>
      <w:pPr>
        <w:spacing w:after="0" w:line="23" w:lineRule="exact"/>
        <w:rPr>
          <w:sz w:val="20"/>
          <w:szCs w:val="20"/>
          <w:color w:val="auto"/>
        </w:rPr>
      </w:pPr>
    </w:p>
    <w:p>
      <w:pPr>
        <w:ind w:firstLine="8"/>
        <w:spacing w:after="0" w:line="243" w:lineRule="auto"/>
        <w:tabs>
          <w:tab w:leader="none" w:pos="8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Under the Investment Company Act of 1940, as amended, we are permitted to issue senior securities, including preferred stock, provided that we maintain an asset coverage of at least 200% for senior securities representing indebtedness plus preferred stock, and 300% in the case of senior securities representing indebtedness. Asset coverage of senior securities representing preferred stock is calculated as the ratio of our total consolidated assets, less all liabilities and indebtedness not represented by senior securities, divided by the aggregate amount of our outstanding preferred stock and debt. Asset coverage of senior securities representing indebtedness is calculated as the ratio of our total consolidated assets, less all liabilities and indebtedness not represented by senior securities, divided by the aggregate amount of our outstanding debt.</w:t>
      </w:r>
    </w:p>
    <w:p>
      <w:pPr>
        <w:spacing w:after="0" w:line="7" w:lineRule="exact"/>
        <w:rPr>
          <w:rFonts w:ascii="Times New Roman" w:cs="Times New Roman" w:eastAsia="Times New Roman" w:hAnsi="Times New Roman"/>
          <w:sz w:val="23"/>
          <w:szCs w:val="23"/>
          <w:color w:val="auto"/>
          <w:vertAlign w:val="superscript"/>
        </w:rPr>
      </w:pPr>
    </w:p>
    <w:p>
      <w:pPr>
        <w:ind w:right="120"/>
        <w:spacing w:after="0" w:line="22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Calculated as CLO equity and equity-related cash distributions received during the quarter, excluding distributions on CLO equity investments that have been optionally redeemed, divided by average CLO equity and equity-related investments at amortized cost.</w:t>
      </w:r>
    </w:p>
    <w:p>
      <w:pPr>
        <w:spacing w:after="0" w:line="19"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Based on amortized cost at period end; excludes discount accretion on CLO debt investments.</w:t>
      </w:r>
    </w:p>
    <w:p>
      <w:pPr>
        <w:sectPr>
          <w:pgSz w:w="11900" w:h="16838" w:orient="portrait"/>
          <w:cols w:equalWidth="0" w:num="1">
            <w:col w:w="11200"/>
          </w:cols>
          <w:pgMar w:left="320" w:top="756"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OF INVESTMENTS AS OF JANUARY 31, 2026</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March 5, 2026, the Company filed its monthly report on Form N-PORT for the month ended January 31, 2026, which included the Schedule of Investments as of January 31, 2026. The Schedule of Investments is attached hereto.</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Information contained on our website is not incorporated by reference into this prospects supplement or the Prospectus, and you should not consider that information to be part of this prospectus supplement or the Prospectus.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and</w:t>
            </w:r>
          </w:p>
        </w:tc>
        <w:tc>
          <w:tcPr>
            <w:tcW w:w="8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Spread Above</w:t>
            </w:r>
          </w:p>
        </w:tc>
        <w:tc>
          <w:tcPr>
            <w:tcW w:w="10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2520" w:type="dxa"/>
            <w:vAlign w:val="bottom"/>
            <w:gridSpan w:val="2"/>
            <w:vMerge w:val="continue"/>
          </w:tcPr>
          <w:p>
            <w:pPr>
              <w:spacing w:after="0"/>
              <w:rPr>
                <w:sz w:val="15"/>
                <w:szCs w:val="15"/>
                <w:color w:val="auto"/>
              </w:rPr>
            </w:pPr>
          </w:p>
        </w:tc>
        <w:tc>
          <w:tcPr>
            <w:tcW w:w="8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/Effective</w:t>
            </w:r>
          </w:p>
        </w:tc>
        <w:tc>
          <w:tcPr>
            <w:tcW w:w="1300" w:type="dxa"/>
            <w:vAlign w:val="bottom"/>
            <w:gridSpan w:val="2"/>
            <w:vMerge w:val="continue"/>
          </w:tcPr>
          <w:p>
            <w:pPr>
              <w:spacing w:after="0"/>
              <w:rPr>
                <w:sz w:val="15"/>
                <w:szCs w:val="15"/>
                <w:color w:val="auto"/>
              </w:rPr>
            </w:pPr>
          </w:p>
        </w:tc>
        <w:tc>
          <w:tcPr>
            <w:tcW w:w="10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Acquisition</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23"/>
                <w:szCs w:val="23"/>
                <w:b w:val="1"/>
                <w:bCs w:val="1"/>
                <w:color w:val="auto"/>
                <w:vertAlign w:val="superscript"/>
              </w:rPr>
              <w:t>(5)</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23"/>
                <w:szCs w:val="23"/>
                <w:b w:val="1"/>
                <w:bCs w:val="1"/>
                <w:color w:val="auto"/>
                <w:vertAlign w:val="superscript"/>
              </w:rPr>
              <w:t>(1)(2)</w:t>
            </w:r>
          </w:p>
        </w:tc>
        <w:tc>
          <w:tcPr>
            <w:tcW w:w="8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1"/>
              </w:rPr>
              <w:t>Yield</w:t>
            </w:r>
            <w:r>
              <w:rPr>
                <w:rFonts w:ascii="Times New Roman" w:cs="Times New Roman" w:eastAsia="Times New Roman" w:hAnsi="Times New Roman"/>
                <w:sz w:val="23"/>
                <w:szCs w:val="23"/>
                <w:b w:val="1"/>
                <w:bCs w:val="1"/>
                <w:color w:val="auto"/>
                <w:w w:val="91"/>
                <w:vertAlign w:val="superscript"/>
              </w:rPr>
              <w:t>(3)</w:t>
            </w:r>
          </w:p>
        </w:tc>
        <w:tc>
          <w:tcPr>
            <w:tcW w:w="13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18"/>
                <w:szCs w:val="18"/>
                <w:b w:val="1"/>
                <w:bCs w:val="1"/>
                <w:color w:val="auto"/>
                <w:w w:val="93"/>
              </w:rPr>
              <w:t>Index</w:t>
            </w:r>
            <w:r>
              <w:rPr>
                <w:rFonts w:ascii="Times New Roman" w:cs="Times New Roman" w:eastAsia="Times New Roman" w:hAnsi="Times New Roman"/>
                <w:sz w:val="23"/>
                <w:szCs w:val="23"/>
                <w:b w:val="1"/>
                <w:bCs w:val="1"/>
                <w:color w:val="auto"/>
                <w:w w:val="93"/>
                <w:vertAlign w:val="superscript"/>
              </w:rPr>
              <w:t>(4)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140" w:type="dxa"/>
            <w:vAlign w:val="bottom"/>
            <w:gridSpan w:val="3"/>
            <w:vMerge w:val="continue"/>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 Debt Securities</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Niagara Park CLO,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Mezzanine Debt - Class G</w:t>
            </w:r>
            <w:r>
              <w:rPr>
                <w:rFonts w:ascii="Times New Roman" w:cs="Times New Roman" w:eastAsia="Times New Roman" w:hAnsi="Times New Roman"/>
                <w:sz w:val="23"/>
                <w:szCs w:val="23"/>
                <w:i w:val="1"/>
                <w:iCs w:val="1"/>
                <w:color w:val="auto"/>
                <w:vertAlign w:val="superscript"/>
              </w:rPr>
              <w:t>(12)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11/19/2024</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1/17/2038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49,720</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CLO Debt Securities</w:t>
            </w:r>
          </w:p>
        </w:tc>
        <w:tc>
          <w:tcPr>
            <w:tcW w:w="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51,375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50,541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49,720</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0"/>
        </w:trPr>
        <w:tc>
          <w:tcPr>
            <w:tcW w:w="2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CLO Equity Securities</w:t>
            </w:r>
            <w:r>
              <w:rPr>
                <w:rFonts w:ascii="Times New Roman" w:cs="Times New Roman" w:eastAsia="Times New Roman" w:hAnsi="Times New Roman"/>
                <w:sz w:val="23"/>
                <w:szCs w:val="23"/>
                <w:b w:val="1"/>
                <w:bCs w:val="1"/>
                <w:color w:val="auto"/>
                <w:vertAlign w:val="superscript"/>
              </w:rPr>
              <w:t>(6)</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Allegro CLO XIV, Ltd.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13.48%</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8/23/2021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10/15/2038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5,408,504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3,892,186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Allegro CLO XV,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18.74%</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6/10/2022</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4/20/2038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5,350,462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3,309,808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2,848,008</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Allegro CLO XVI, Ltd.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11.31%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4/11/2024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4/25/2037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6,490,084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4,525,746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3,611,160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Allegro CLO XVII,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18.78%</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6/18/2025</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7/25/2038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9,670,177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7,344,839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7,130,284</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Anchorage Capital CLO 1-R,</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20" w:type="dxa"/>
            <w:vAlign w:val="bottom"/>
            <w:gridSpan w:val="2"/>
            <w:shd w:val="clear" w:color="auto" w:fill="CCEEFF"/>
          </w:tcPr>
          <w:p>
            <w:pPr>
              <w:spacing w:after="0" w:line="234"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(8)(10)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10/5/2018</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4/13/2031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Apex Credit CLO 13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15.28%</w:t>
            </w:r>
          </w:p>
        </w:tc>
        <w:tc>
          <w:tcPr>
            <w:tcW w:w="8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1/23/2026</w:t>
            </w: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1/22/2039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10,958,237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9,033,909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9,033,909</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bl>
    <w:p>
      <w:pPr>
        <w:sectPr>
          <w:pgSz w:w="11900" w:h="16838" w:orient="portrait"/>
          <w:cols w:equalWidth="0" w:num="1">
            <w:col w:w="11220"/>
          </w:cols>
          <w:pgMar w:left="320" w:top="887" w:right="3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and</w:t>
            </w: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Spread Above</w:t>
            </w:r>
          </w:p>
        </w:tc>
        <w:tc>
          <w:tcPr>
            <w:tcW w:w="10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2540" w:type="dxa"/>
            <w:vAlign w:val="bottom"/>
            <w:gridSpan w:val="2"/>
            <w:vMerge w:val="continue"/>
          </w:tcPr>
          <w:p>
            <w:pPr>
              <w:spacing w:after="0"/>
              <w:rPr>
                <w:sz w:val="15"/>
                <w:szCs w:val="15"/>
                <w:color w:val="auto"/>
              </w:rPr>
            </w:pP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/Effective</w:t>
            </w:r>
          </w:p>
        </w:tc>
        <w:tc>
          <w:tcPr>
            <w:tcW w:w="1300" w:type="dxa"/>
            <w:vAlign w:val="bottom"/>
            <w:gridSpan w:val="2"/>
            <w:vMerge w:val="continue"/>
          </w:tcPr>
          <w:p>
            <w:pPr>
              <w:spacing w:after="0"/>
              <w:rPr>
                <w:sz w:val="15"/>
                <w:szCs w:val="15"/>
                <w:color w:val="auto"/>
              </w:rPr>
            </w:pPr>
          </w:p>
        </w:tc>
        <w:tc>
          <w:tcPr>
            <w:tcW w:w="10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Acquisition</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1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23"/>
                <w:szCs w:val="23"/>
                <w:b w:val="1"/>
                <w:bCs w:val="1"/>
                <w:color w:val="auto"/>
                <w:vertAlign w:val="superscript"/>
              </w:rPr>
              <w:t>(5)</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23"/>
                <w:szCs w:val="23"/>
                <w:b w:val="1"/>
                <w:bCs w:val="1"/>
                <w:color w:val="auto"/>
                <w:vertAlign w:val="superscript"/>
              </w:rPr>
              <w:t>(1)(2)</w:t>
            </w:r>
          </w:p>
        </w:tc>
        <w:tc>
          <w:tcPr>
            <w:tcW w:w="8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1"/>
              </w:rPr>
              <w:t>Yield</w:t>
            </w:r>
            <w:r>
              <w:rPr>
                <w:rFonts w:ascii="Times New Roman" w:cs="Times New Roman" w:eastAsia="Times New Roman" w:hAnsi="Times New Roman"/>
                <w:sz w:val="23"/>
                <w:szCs w:val="23"/>
                <w:b w:val="1"/>
                <w:bCs w:val="1"/>
                <w:color w:val="auto"/>
                <w:w w:val="91"/>
                <w:vertAlign w:val="superscript"/>
              </w:rPr>
              <w:t>(3)</w:t>
            </w:r>
          </w:p>
        </w:tc>
        <w:tc>
          <w:tcPr>
            <w:tcW w:w="13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0"/>
              </w:rPr>
              <w:t>Index</w:t>
            </w:r>
            <w:r>
              <w:rPr>
                <w:rFonts w:ascii="Times New Roman" w:cs="Times New Roman" w:eastAsia="Times New Roman" w:hAnsi="Times New Roman"/>
                <w:sz w:val="23"/>
                <w:szCs w:val="23"/>
                <w:b w:val="1"/>
                <w:bCs w:val="1"/>
                <w:color w:val="auto"/>
                <w:w w:val="90"/>
                <w:vertAlign w:val="superscript"/>
              </w:rPr>
              <w:t>(4)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gridSpan w:val="2"/>
            <w:vMerge w:val="continue"/>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140" w:type="dxa"/>
            <w:vAlign w:val="bottom"/>
            <w:gridSpan w:val="2"/>
            <w:vMerge w:val="continue"/>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0" w:type="dxa"/>
            <w:vAlign w:val="bottom"/>
          </w:tcPr>
          <w:p>
            <w:pPr>
              <w:spacing w:after="0"/>
              <w:rPr>
                <w:sz w:val="1"/>
                <w:szCs w:val="1"/>
                <w:color w:val="auto"/>
              </w:rPr>
            </w:pPr>
          </w:p>
        </w:tc>
      </w:tr>
      <w:tr>
        <w:trPr>
          <w:trHeight w:val="237"/>
        </w:trPr>
        <w:tc>
          <w:tcPr>
            <w:tcW w:w="24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Apex Credit CLO 2020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6.61%</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11/16/2020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4/20/2035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6,170,000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$ 4,986,397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2,808,221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Apex Credit CLO 2021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0.81%</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5/28/2021</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7/18/2034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4,334,265</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1,869,133</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Apex Credit CLO 2022-I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4/28/2022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10/22/2038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14,060,974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8,169,641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5,940,760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Apex Credit CLO 2024-I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3/7/2024</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4/20/2036</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2,450,150</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1,780,181</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LV CLO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11/19/2025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10/15/2037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2,294,941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2,116,382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57"/>
        </w:trPr>
        <w:tc>
          <w:tcPr>
            <w:tcW w:w="2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LXXIV CLO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9/12/2024</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10/15/2037</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8,007,937</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6,727,754</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Atlas Senior Loan Fund X,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(7)(8)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10/5/2018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1/15/2031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1,990,754</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5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Atlas Senior Loan Fund XVII,</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7.85%</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9/20/2021</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10/20/2034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3,742,122</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2,061,873</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Ballyrock CLO 19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6/30/2025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4/20/2035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1,787,512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1,689,965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Barings CLO Ltd. 2018-II</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2/19/2025</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7/15/2036</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2,251,386</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1,697,938</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999" w:right="35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and</w:t>
            </w: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Spread Above</w:t>
            </w:r>
          </w:p>
        </w:tc>
        <w:tc>
          <w:tcPr>
            <w:tcW w:w="10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2540" w:type="dxa"/>
            <w:vAlign w:val="bottom"/>
            <w:gridSpan w:val="2"/>
            <w:vMerge w:val="continue"/>
          </w:tcPr>
          <w:p>
            <w:pPr>
              <w:spacing w:after="0"/>
              <w:rPr>
                <w:sz w:val="15"/>
                <w:szCs w:val="15"/>
                <w:color w:val="auto"/>
              </w:rPr>
            </w:pP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/Effective</w:t>
            </w:r>
          </w:p>
        </w:tc>
        <w:tc>
          <w:tcPr>
            <w:tcW w:w="132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Acquisition</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1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23"/>
                <w:szCs w:val="23"/>
                <w:b w:val="1"/>
                <w:bCs w:val="1"/>
                <w:color w:val="auto"/>
                <w:vertAlign w:val="superscript"/>
              </w:rPr>
              <w:t>(5)</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23"/>
                <w:szCs w:val="23"/>
                <w:b w:val="1"/>
                <w:bCs w:val="1"/>
                <w:color w:val="auto"/>
                <w:vertAlign w:val="superscript"/>
              </w:rPr>
              <w:t>(1)(2)</w:t>
            </w:r>
          </w:p>
        </w:tc>
        <w:tc>
          <w:tcPr>
            <w:tcW w:w="8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1"/>
              </w:rPr>
              <w:t>Yield</w:t>
            </w:r>
            <w:r>
              <w:rPr>
                <w:rFonts w:ascii="Times New Roman" w:cs="Times New Roman" w:eastAsia="Times New Roman" w:hAnsi="Times New Roman"/>
                <w:sz w:val="23"/>
                <w:szCs w:val="23"/>
                <w:b w:val="1"/>
                <w:bCs w:val="1"/>
                <w:color w:val="auto"/>
                <w:w w:val="91"/>
                <w:vertAlign w:val="superscript"/>
              </w:rPr>
              <w:t>(3)</w:t>
            </w:r>
          </w:p>
        </w:tc>
        <w:tc>
          <w:tcPr>
            <w:tcW w:w="13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3"/>
              </w:rPr>
              <w:t>Index</w:t>
            </w:r>
            <w:r>
              <w:rPr>
                <w:rFonts w:ascii="Times New Roman" w:cs="Times New Roman" w:eastAsia="Times New Roman" w:hAnsi="Times New Roman"/>
                <w:sz w:val="23"/>
                <w:szCs w:val="23"/>
                <w:b w:val="1"/>
                <w:bCs w:val="1"/>
                <w:color w:val="auto"/>
                <w:w w:val="93"/>
                <w:vertAlign w:val="superscript"/>
              </w:rPr>
              <w:t>(4)</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gridSpan w:val="2"/>
            <w:vMerge w:val="continue"/>
          </w:tcPr>
          <w:p>
            <w:pPr>
              <w:spacing w:after="0"/>
              <w:rPr>
                <w:sz w:val="21"/>
                <w:szCs w:val="2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gridSpan w:val="3"/>
            <w:vMerge w:val="continue"/>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Battalion CLO IX Ltd.</w:t>
            </w: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 - Income</w:t>
            </w:r>
            <w:r>
              <w:rPr>
                <w:rFonts w:ascii="Times New Roman" w:cs="Times New Roman" w:eastAsia="Times New Roman" w:hAnsi="Times New Roman"/>
                <w:sz w:val="23"/>
                <w:szCs w:val="23"/>
                <w:i w:val="1"/>
                <w:iCs w:val="1"/>
                <w:color w:val="auto"/>
                <w:vertAlign w:val="superscript"/>
              </w:rPr>
              <w:t>(7)(8)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10/10/2018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7/15/2031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1,079,022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408,304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(7)(8)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10/10/2018</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7/15/2031</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1,770,978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2,850,000</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Battalion CLO XI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4/24/2034</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751,711</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Battalion CLO XV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5/4/2023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1/17/2033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1,266,057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484,816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5/4/2023</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1/17/2033</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1,266,057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484,816</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969,632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Battalion CLO XIX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3/16/2021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4/15/2034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2,109,380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708,793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BlueMountain CLO XXVI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8/9/2024</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10/20/2034</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2,071,735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1,579,043</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Street CLO III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12/28/2022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10/20/2037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4,166,655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Brightwood Capital MM CLO</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2023-1, Ltd.</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9/28/2023</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10/15/2035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4,847,312</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3,846,567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3,996,662</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Canyon CLO 2019-1,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8/22/2024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7/15/2037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413,833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Carlyle US CLO 2021-10,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5/9/2025</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1/20/2038</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7,900,342</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3,603,533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3,172,032</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Dryden 38 Senior Loan Fund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(8)(10)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10/5/2018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7/15/2030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ectPr>
          <w:pgSz w:w="11900" w:h="16838" w:orient="portrait"/>
          <w:cols w:equalWidth="0" w:num="1">
            <w:col w:w="11180"/>
          </w:cols>
          <w:pgMar w:left="360" w:top="999" w:right="35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and</w:t>
            </w:r>
          </w:p>
        </w:tc>
        <w:tc>
          <w:tcPr>
            <w:tcW w:w="8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Spread Above</w:t>
            </w:r>
          </w:p>
        </w:tc>
        <w:tc>
          <w:tcPr>
            <w:tcW w:w="10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2520" w:type="dxa"/>
            <w:vAlign w:val="bottom"/>
            <w:gridSpan w:val="2"/>
            <w:vMerge w:val="continue"/>
          </w:tcPr>
          <w:p>
            <w:pPr>
              <w:spacing w:after="0"/>
              <w:rPr>
                <w:sz w:val="15"/>
                <w:szCs w:val="15"/>
                <w:color w:val="auto"/>
              </w:rPr>
            </w:pPr>
          </w:p>
        </w:tc>
        <w:tc>
          <w:tcPr>
            <w:tcW w:w="8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/Effective</w:t>
            </w:r>
          </w:p>
        </w:tc>
        <w:tc>
          <w:tcPr>
            <w:tcW w:w="1300" w:type="dxa"/>
            <w:vAlign w:val="bottom"/>
            <w:gridSpan w:val="2"/>
            <w:vMerge w:val="continue"/>
          </w:tcPr>
          <w:p>
            <w:pPr>
              <w:spacing w:after="0"/>
              <w:rPr>
                <w:sz w:val="15"/>
                <w:szCs w:val="15"/>
                <w:color w:val="auto"/>
              </w:rPr>
            </w:pPr>
          </w:p>
        </w:tc>
        <w:tc>
          <w:tcPr>
            <w:tcW w:w="10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Acquisition</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16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23"/>
                <w:szCs w:val="23"/>
                <w:b w:val="1"/>
                <w:bCs w:val="1"/>
                <w:color w:val="auto"/>
                <w:vertAlign w:val="superscript"/>
              </w:rPr>
              <w:t>(5)</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23"/>
                <w:szCs w:val="23"/>
                <w:b w:val="1"/>
                <w:bCs w:val="1"/>
                <w:color w:val="auto"/>
                <w:vertAlign w:val="superscript"/>
              </w:rPr>
              <w:t>(1)(2)</w:t>
            </w:r>
          </w:p>
        </w:tc>
        <w:tc>
          <w:tcPr>
            <w:tcW w:w="8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1"/>
              </w:rPr>
              <w:t>Yield</w:t>
            </w:r>
            <w:r>
              <w:rPr>
                <w:rFonts w:ascii="Times New Roman" w:cs="Times New Roman" w:eastAsia="Times New Roman" w:hAnsi="Times New Roman"/>
                <w:sz w:val="23"/>
                <w:szCs w:val="23"/>
                <w:b w:val="1"/>
                <w:bCs w:val="1"/>
                <w:color w:val="auto"/>
                <w:w w:val="91"/>
                <w:vertAlign w:val="superscript"/>
              </w:rPr>
              <w:t>(3)</w:t>
            </w:r>
          </w:p>
        </w:tc>
        <w:tc>
          <w:tcPr>
            <w:tcW w:w="13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18"/>
                <w:szCs w:val="18"/>
                <w:b w:val="1"/>
                <w:bCs w:val="1"/>
                <w:color w:val="auto"/>
                <w:w w:val="93"/>
              </w:rPr>
              <w:t>Index</w:t>
            </w:r>
            <w:r>
              <w:rPr>
                <w:rFonts w:ascii="Times New Roman" w:cs="Times New Roman" w:eastAsia="Times New Roman" w:hAnsi="Times New Roman"/>
                <w:sz w:val="23"/>
                <w:szCs w:val="23"/>
                <w:b w:val="1"/>
                <w:bCs w:val="1"/>
                <w:color w:val="auto"/>
                <w:w w:val="93"/>
                <w:vertAlign w:val="superscript"/>
              </w:rPr>
              <w:t>(4)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gridSpan w:val="2"/>
            <w:vMerge w:val="continue"/>
          </w:tcPr>
          <w:p>
            <w:pPr>
              <w:spacing w:after="0"/>
              <w:rPr>
                <w:sz w:val="21"/>
                <w:szCs w:val="21"/>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140" w:type="dxa"/>
            <w:vAlign w:val="bottom"/>
            <w:gridSpan w:val="2"/>
            <w:vMerge w:val="continue"/>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0" w:type="dxa"/>
            <w:vAlign w:val="bottom"/>
          </w:tcPr>
          <w:p>
            <w:pPr>
              <w:spacing w:after="0"/>
              <w:rPr>
                <w:sz w:val="1"/>
                <w:szCs w:val="1"/>
                <w:color w:val="auto"/>
              </w:rPr>
            </w:pPr>
          </w:p>
        </w:tc>
      </w:tr>
      <w:tr>
        <w:trPr>
          <w:trHeight w:val="250"/>
        </w:trPr>
        <w:tc>
          <w:tcPr>
            <w:tcW w:w="2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Dryden 83 CLO,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13.05%</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9/17/2024</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4/18/2037</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$ 21,000,000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$ 9,938,934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7,295,421</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Dryden 87 CLO, Ltd.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6/2/2021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8/20/2038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7,078,500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4,559,215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2,704,836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Dryden 95 CLO,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7/29/2021</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8/20/2034</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4,043,868</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2,284,331</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Dryden 98 CLO, Ltd.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3.25%</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3/17/2022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4/20/2035</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3,745,167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2,026,543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Dryden 112 CLO,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20.45%</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9/4/2024</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11/15/2036</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6,103,933</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5,462,531</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Dryden 123 CLO, Ltd.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15.24%</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4/4/2025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4/15/2038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4,284,223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3,855,029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Eaton Vance CLO 2019-1,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12.27%</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10/1/2024</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7/15/2037</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12,913,526</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8,865,261</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Elevation CLO 2017-8, Ltd.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(8)(10)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10/5/2018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10/25/2030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614,661</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Elevation CLO 2021-12,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5.89%</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5/26/2021</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4/20/2037</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4,810,737</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2,630,656</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1,398,752</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Elevation CLO 2021-13, Ltd.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7/15/2034</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6,026,765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3,431,103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1,342,638</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ectPr>
          <w:pgSz w:w="11900" w:h="16838" w:orient="portrait"/>
          <w:cols w:equalWidth="0" w:num="1">
            <w:col w:w="11180"/>
          </w:cols>
          <w:pgMar w:left="360" w:top="999" w:right="35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and</w:t>
            </w:r>
          </w:p>
        </w:tc>
        <w:tc>
          <w:tcPr>
            <w:tcW w:w="8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Spread Above</w:t>
            </w:r>
          </w:p>
        </w:tc>
        <w:tc>
          <w:tcPr>
            <w:tcW w:w="10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2520" w:type="dxa"/>
            <w:vAlign w:val="bottom"/>
            <w:gridSpan w:val="2"/>
            <w:vMerge w:val="continue"/>
          </w:tcPr>
          <w:p>
            <w:pPr>
              <w:spacing w:after="0"/>
              <w:rPr>
                <w:sz w:val="15"/>
                <w:szCs w:val="15"/>
                <w:color w:val="auto"/>
              </w:rPr>
            </w:pPr>
          </w:p>
        </w:tc>
        <w:tc>
          <w:tcPr>
            <w:tcW w:w="8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/Effective</w:t>
            </w:r>
          </w:p>
        </w:tc>
        <w:tc>
          <w:tcPr>
            <w:tcW w:w="1300" w:type="dxa"/>
            <w:vAlign w:val="bottom"/>
            <w:gridSpan w:val="2"/>
            <w:vMerge w:val="continue"/>
          </w:tcPr>
          <w:p>
            <w:pPr>
              <w:spacing w:after="0"/>
              <w:rPr>
                <w:sz w:val="15"/>
                <w:szCs w:val="15"/>
                <w:color w:val="auto"/>
              </w:rPr>
            </w:pPr>
          </w:p>
        </w:tc>
        <w:tc>
          <w:tcPr>
            <w:tcW w:w="10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Acquisition</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16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23"/>
                <w:szCs w:val="23"/>
                <w:b w:val="1"/>
                <w:bCs w:val="1"/>
                <w:color w:val="auto"/>
                <w:vertAlign w:val="superscript"/>
              </w:rPr>
              <w:t>(5)</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23"/>
                <w:szCs w:val="23"/>
                <w:b w:val="1"/>
                <w:bCs w:val="1"/>
                <w:color w:val="auto"/>
                <w:vertAlign w:val="superscript"/>
              </w:rPr>
              <w:t>(1)(2)</w:t>
            </w:r>
          </w:p>
        </w:tc>
        <w:tc>
          <w:tcPr>
            <w:tcW w:w="8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1"/>
              </w:rPr>
              <w:t>Yield</w:t>
            </w:r>
            <w:r>
              <w:rPr>
                <w:rFonts w:ascii="Times New Roman" w:cs="Times New Roman" w:eastAsia="Times New Roman" w:hAnsi="Times New Roman"/>
                <w:sz w:val="23"/>
                <w:szCs w:val="23"/>
                <w:b w:val="1"/>
                <w:bCs w:val="1"/>
                <w:color w:val="auto"/>
                <w:w w:val="91"/>
                <w:vertAlign w:val="superscript"/>
              </w:rPr>
              <w:t>(3)</w:t>
            </w:r>
          </w:p>
        </w:tc>
        <w:tc>
          <w:tcPr>
            <w:tcW w:w="13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18"/>
                <w:szCs w:val="18"/>
                <w:b w:val="1"/>
                <w:bCs w:val="1"/>
                <w:color w:val="auto"/>
                <w:w w:val="93"/>
              </w:rPr>
              <w:t>Index</w:t>
            </w:r>
            <w:r>
              <w:rPr>
                <w:rFonts w:ascii="Times New Roman" w:cs="Times New Roman" w:eastAsia="Times New Roman" w:hAnsi="Times New Roman"/>
                <w:sz w:val="23"/>
                <w:szCs w:val="23"/>
                <w:b w:val="1"/>
                <w:bCs w:val="1"/>
                <w:color w:val="auto"/>
                <w:w w:val="93"/>
                <w:vertAlign w:val="superscript"/>
              </w:rPr>
              <w:t>(4)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gridSpan w:val="2"/>
            <w:vMerge w:val="continue"/>
          </w:tcPr>
          <w:p>
            <w:pPr>
              <w:spacing w:after="0"/>
              <w:rPr>
                <w:sz w:val="21"/>
                <w:szCs w:val="21"/>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140" w:type="dxa"/>
            <w:vAlign w:val="bottom"/>
            <w:gridSpan w:val="2"/>
            <w:vMerge w:val="continue"/>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Elevation CLO 2021-14, Ltd.</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11.56%</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10/29/2021</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1/20/2038</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$ 11,971,482</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$ 6,670,908</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4,273,824</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Elevation CLO 2021-15, Ltd.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(7)</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12/23/2021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1/25/2035</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5,251,374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2,070,717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Empower CLO 2023-3,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5.18%</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12/21/2023</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1/20/2037</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7,043,001</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5,534,024</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Empower CLO 2024-1, Ltd.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6.79%</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3/20/2024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4/25/2037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3,764,718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2,203,373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Empower CLO 2024-2,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7.57%</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6/26/2024</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7/15/2037</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1,104,529</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714,132</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Empower CLO 2025-1, Ltd.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14.71%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5/15/2025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7/20/2038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7,380,264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6,436,085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Generate CLO 14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8.36%</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9/27/2024</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4/22/2037</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16,009,942</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10,088,943</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Halcyon Loan Advisors Funding</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2018-1 Ltd.</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20" w:type="dxa"/>
            <w:vAlign w:val="bottom"/>
            <w:gridSpan w:val="2"/>
            <w:shd w:val="clear" w:color="auto" w:fill="CCEEFF"/>
          </w:tcPr>
          <w:p>
            <w:pPr>
              <w:spacing w:after="0" w:line="234"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(10)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3/20/2019</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7/20/2031</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1,211,984</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HarbourView CLO VII, Ltd.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(8)(10)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10/5/2018</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7/18/2031</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1,886,533</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ICG US CLO 2021-3, Ltd.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22.54%</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10/20/2034</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3,076,572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2,509,967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ectPr>
          <w:pgSz w:w="11900" w:h="16838" w:orient="portrait"/>
          <w:cols w:equalWidth="0" w:num="1">
            <w:col w:w="11180"/>
          </w:cols>
          <w:pgMar w:left="360" w:top="999" w:right="3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and</w:t>
            </w: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Spread Above</w:t>
            </w:r>
          </w:p>
        </w:tc>
        <w:tc>
          <w:tcPr>
            <w:tcW w:w="10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2540" w:type="dxa"/>
            <w:vAlign w:val="bottom"/>
            <w:gridSpan w:val="2"/>
            <w:vMerge w:val="continue"/>
          </w:tcPr>
          <w:p>
            <w:pPr>
              <w:spacing w:after="0"/>
              <w:rPr>
                <w:sz w:val="15"/>
                <w:szCs w:val="15"/>
                <w:color w:val="auto"/>
              </w:rPr>
            </w:pP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/Effective</w:t>
            </w:r>
          </w:p>
        </w:tc>
        <w:tc>
          <w:tcPr>
            <w:tcW w:w="1300" w:type="dxa"/>
            <w:vAlign w:val="bottom"/>
            <w:gridSpan w:val="2"/>
            <w:vMerge w:val="continue"/>
          </w:tcPr>
          <w:p>
            <w:pPr>
              <w:spacing w:after="0"/>
              <w:rPr>
                <w:sz w:val="15"/>
                <w:szCs w:val="15"/>
                <w:color w:val="auto"/>
              </w:rPr>
            </w:pPr>
          </w:p>
        </w:tc>
        <w:tc>
          <w:tcPr>
            <w:tcW w:w="10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Acquisition</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1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23"/>
                <w:szCs w:val="23"/>
                <w:b w:val="1"/>
                <w:bCs w:val="1"/>
                <w:color w:val="auto"/>
                <w:vertAlign w:val="superscript"/>
              </w:rPr>
              <w:t>(5)</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23"/>
                <w:szCs w:val="23"/>
                <w:b w:val="1"/>
                <w:bCs w:val="1"/>
                <w:color w:val="auto"/>
                <w:vertAlign w:val="superscript"/>
              </w:rPr>
              <w:t>(1)(2)</w:t>
            </w:r>
          </w:p>
        </w:tc>
        <w:tc>
          <w:tcPr>
            <w:tcW w:w="8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1"/>
              </w:rPr>
              <w:t>Yield</w:t>
            </w:r>
            <w:r>
              <w:rPr>
                <w:rFonts w:ascii="Times New Roman" w:cs="Times New Roman" w:eastAsia="Times New Roman" w:hAnsi="Times New Roman"/>
                <w:sz w:val="23"/>
                <w:szCs w:val="23"/>
                <w:b w:val="1"/>
                <w:bCs w:val="1"/>
                <w:color w:val="auto"/>
                <w:w w:val="91"/>
                <w:vertAlign w:val="superscript"/>
              </w:rPr>
              <w:t>(3)</w:t>
            </w:r>
          </w:p>
        </w:tc>
        <w:tc>
          <w:tcPr>
            <w:tcW w:w="13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0"/>
              </w:rPr>
              <w:t>Index</w:t>
            </w:r>
            <w:r>
              <w:rPr>
                <w:rFonts w:ascii="Times New Roman" w:cs="Times New Roman" w:eastAsia="Times New Roman" w:hAnsi="Times New Roman"/>
                <w:sz w:val="23"/>
                <w:szCs w:val="23"/>
                <w:b w:val="1"/>
                <w:bCs w:val="1"/>
                <w:color w:val="auto"/>
                <w:w w:val="90"/>
                <w:vertAlign w:val="superscript"/>
              </w:rPr>
              <w:t>(4)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gridSpan w:val="2"/>
            <w:vMerge w:val="continue"/>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140" w:type="dxa"/>
            <w:vAlign w:val="bottom"/>
            <w:gridSpan w:val="2"/>
            <w:vMerge w:val="continue"/>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Invesco CLO 2021-2, Ltd.</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6.16%</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5/24/2024</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7/15/2034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$ 2,738,404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1,501,063</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Invesco U.S. CLO 2023-1,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5/31/2024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4/22/2037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6,274,990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4,911,594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Jamestown CLO XVI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7/29/2021</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7/25/2034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2,145,110</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1,132,909</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KKR CLO 35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1/20/2038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4,546,012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3,920,063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LCM 31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12/18/2020</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7/20/2034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708,627</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183,203</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LCM 42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12/19/2024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1/15/2038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2,906,410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2,460,615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5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Madison Park Funding XXIX,</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12/22/2020</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3/25/2038</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1,154,848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537,268</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345,467</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Marble Point CLO XX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4/9/2021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4/23/2051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3,092,245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1,432,387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Marble Point CLO XXI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8/24/2021</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10/17/2051</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3,289,946</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1,282,002</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Marble Point CLO XXIII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12/3/2021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1/22/2052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1,176,116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573,992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MidOcean Credit CLO VII</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 - Income</w:t>
            </w:r>
            <w:r>
              <w:rPr>
                <w:rFonts w:ascii="Times New Roman" w:cs="Times New Roman" w:eastAsia="Times New Roman" w:hAnsi="Times New Roman"/>
                <w:sz w:val="23"/>
                <w:szCs w:val="23"/>
                <w:i w:val="1"/>
                <w:iCs w:val="1"/>
                <w:color w:val="auto"/>
                <w:vertAlign w:val="superscript"/>
              </w:rPr>
              <w:t>(7)(8)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3/20/2019</w:t>
            </w:r>
          </w:p>
        </w:tc>
        <w:tc>
          <w:tcPr>
            <w:tcW w:w="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7/15/2029</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3,275,000</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1,047,083</w:t>
            </w:r>
          </w:p>
        </w:tc>
        <w:tc>
          <w:tcPr>
            <w:tcW w:w="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ectPr>
          <w:pgSz w:w="11900" w:h="16838" w:orient="portrait"/>
          <w:cols w:equalWidth="0" w:num="1">
            <w:col w:w="11180"/>
          </w:cols>
          <w:pgMar w:left="360" w:top="999" w:right="3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and</w:t>
            </w: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Spread Above</w:t>
            </w:r>
          </w:p>
        </w:tc>
        <w:tc>
          <w:tcPr>
            <w:tcW w:w="10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2540" w:type="dxa"/>
            <w:vAlign w:val="bottom"/>
            <w:gridSpan w:val="2"/>
            <w:vMerge w:val="continue"/>
          </w:tcPr>
          <w:p>
            <w:pPr>
              <w:spacing w:after="0"/>
              <w:rPr>
                <w:sz w:val="15"/>
                <w:szCs w:val="15"/>
                <w:color w:val="auto"/>
              </w:rPr>
            </w:pP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/Effective</w:t>
            </w:r>
          </w:p>
        </w:tc>
        <w:tc>
          <w:tcPr>
            <w:tcW w:w="1300" w:type="dxa"/>
            <w:vAlign w:val="bottom"/>
            <w:gridSpan w:val="2"/>
            <w:vMerge w:val="continue"/>
          </w:tcPr>
          <w:p>
            <w:pPr>
              <w:spacing w:after="0"/>
              <w:rPr>
                <w:sz w:val="15"/>
                <w:szCs w:val="15"/>
                <w:color w:val="auto"/>
              </w:rPr>
            </w:pPr>
          </w:p>
        </w:tc>
        <w:tc>
          <w:tcPr>
            <w:tcW w:w="10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Acquisition</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1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23"/>
                <w:szCs w:val="23"/>
                <w:b w:val="1"/>
                <w:bCs w:val="1"/>
                <w:color w:val="auto"/>
                <w:vertAlign w:val="superscript"/>
              </w:rPr>
              <w:t>(5)</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23"/>
                <w:szCs w:val="23"/>
                <w:b w:val="1"/>
                <w:bCs w:val="1"/>
                <w:color w:val="auto"/>
                <w:vertAlign w:val="superscript"/>
              </w:rPr>
              <w:t>(1)(2)</w:t>
            </w:r>
          </w:p>
        </w:tc>
        <w:tc>
          <w:tcPr>
            <w:tcW w:w="8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1"/>
              </w:rPr>
              <w:t>Yield</w:t>
            </w:r>
            <w:r>
              <w:rPr>
                <w:rFonts w:ascii="Times New Roman" w:cs="Times New Roman" w:eastAsia="Times New Roman" w:hAnsi="Times New Roman"/>
                <w:sz w:val="23"/>
                <w:szCs w:val="23"/>
                <w:b w:val="1"/>
                <w:bCs w:val="1"/>
                <w:color w:val="auto"/>
                <w:w w:val="91"/>
                <w:vertAlign w:val="superscript"/>
              </w:rPr>
              <w:t>(3)</w:t>
            </w:r>
          </w:p>
        </w:tc>
        <w:tc>
          <w:tcPr>
            <w:tcW w:w="13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0"/>
              </w:rPr>
              <w:t>Index</w:t>
            </w:r>
            <w:r>
              <w:rPr>
                <w:rFonts w:ascii="Times New Roman" w:cs="Times New Roman" w:eastAsia="Times New Roman" w:hAnsi="Times New Roman"/>
                <w:sz w:val="23"/>
                <w:szCs w:val="23"/>
                <w:b w:val="1"/>
                <w:bCs w:val="1"/>
                <w:color w:val="auto"/>
                <w:w w:val="90"/>
                <w:vertAlign w:val="superscript"/>
              </w:rPr>
              <w:t>(4)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gridSpan w:val="2"/>
            <w:vMerge w:val="continue"/>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140" w:type="dxa"/>
            <w:vAlign w:val="bottom"/>
            <w:gridSpan w:val="3"/>
            <w:vMerge w:val="continue"/>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MidOcean Credit CLO VIII</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i w:val="1"/>
                <w:iCs w:val="1"/>
                <w:color w:val="auto"/>
              </w:rPr>
              <w:t>Subordinated Notes - Income</w:t>
            </w:r>
            <w:r>
              <w:rPr>
                <w:rFonts w:ascii="Times New Roman" w:cs="Times New Roman" w:eastAsia="Times New Roman" w:hAnsi="Times New Roman"/>
                <w:sz w:val="20"/>
                <w:szCs w:val="20"/>
                <w:i w:val="1"/>
                <w:iCs w:val="1"/>
                <w:color w:val="auto"/>
                <w:vertAlign w:val="superscript"/>
              </w:rPr>
              <w:t>(8)</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2"/>
                <w:szCs w:val="12"/>
                <w:i w:val="1"/>
                <w:iCs w:val="1"/>
                <w:color w:val="auto"/>
              </w:rPr>
              <w:t>(10)</w:t>
            </w:r>
          </w:p>
        </w:tc>
        <w:tc>
          <w:tcPr>
            <w:tcW w:w="80" w:type="dxa"/>
            <w:vAlign w:val="bottom"/>
          </w:tcPr>
          <w:p>
            <w:pPr>
              <w:spacing w:after="0"/>
              <w:rPr>
                <w:sz w:val="10"/>
                <w:szCs w:val="10"/>
                <w:color w:val="auto"/>
              </w:rPr>
            </w:pPr>
          </w:p>
        </w:tc>
        <w:tc>
          <w:tcPr>
            <w:tcW w:w="7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10"/>
                <w:szCs w:val="10"/>
                <w:color w:val="auto"/>
              </w:rPr>
            </w:pPr>
          </w:p>
        </w:tc>
        <w:tc>
          <w:tcPr>
            <w:tcW w:w="1300" w:type="dxa"/>
            <w:vAlign w:val="bottom"/>
            <w:gridSpan w:val="2"/>
            <w:vMerge w:val="restart"/>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9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rPr>
              <w:t>1/14/2019</w:t>
            </w:r>
          </w:p>
        </w:tc>
        <w:tc>
          <w:tcPr>
            <w:tcW w:w="80" w:type="dxa"/>
            <w:vAlign w:val="bottom"/>
          </w:tcPr>
          <w:p>
            <w:pPr>
              <w:spacing w:after="0"/>
              <w:rPr>
                <w:sz w:val="10"/>
                <w:szCs w:val="10"/>
                <w:color w:val="auto"/>
              </w:rPr>
            </w:pPr>
          </w:p>
        </w:tc>
        <w:tc>
          <w:tcPr>
            <w:tcW w:w="100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rPr>
              <w:t>2/20/2031</w:t>
            </w:r>
          </w:p>
        </w:tc>
        <w:tc>
          <w:tcPr>
            <w:tcW w:w="80" w:type="dxa"/>
            <w:vAlign w:val="bottom"/>
          </w:tcPr>
          <w:p>
            <w:pPr>
              <w:spacing w:after="0"/>
              <w:rPr>
                <w:sz w:val="10"/>
                <w:szCs w:val="10"/>
                <w:color w:val="auto"/>
              </w:rPr>
            </w:pPr>
          </w:p>
        </w:tc>
        <w:tc>
          <w:tcPr>
            <w:tcW w:w="106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  3,225,000</w:t>
            </w:r>
          </w:p>
        </w:tc>
        <w:tc>
          <w:tcPr>
            <w:tcW w:w="80" w:type="dxa"/>
            <w:vAlign w:val="bottom"/>
          </w:tcPr>
          <w:p>
            <w:pPr>
              <w:spacing w:after="0"/>
              <w:rPr>
                <w:sz w:val="10"/>
                <w:szCs w:val="10"/>
                <w:color w:val="auto"/>
              </w:rPr>
            </w:pPr>
          </w:p>
        </w:tc>
        <w:tc>
          <w:tcPr>
            <w:tcW w:w="10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$ 1,045,529</w:t>
            </w:r>
          </w:p>
        </w:tc>
        <w:tc>
          <w:tcPr>
            <w:tcW w:w="80" w:type="dxa"/>
            <w:vAlign w:val="bottom"/>
          </w:tcPr>
          <w:p>
            <w:pPr>
              <w:spacing w:after="0"/>
              <w:rPr>
                <w:sz w:val="10"/>
                <w:szCs w:val="10"/>
                <w:color w:val="auto"/>
              </w:rPr>
            </w:pPr>
          </w:p>
        </w:tc>
        <w:tc>
          <w:tcPr>
            <w:tcW w:w="18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79,786</w:t>
            </w:r>
          </w:p>
        </w:tc>
        <w:tc>
          <w:tcPr>
            <w:tcW w:w="80" w:type="dxa"/>
            <w:vAlign w:val="bottom"/>
          </w:tcPr>
          <w:p>
            <w:pPr>
              <w:spacing w:after="0"/>
              <w:rPr>
                <w:sz w:val="10"/>
                <w:szCs w:val="10"/>
                <w:color w:val="auto"/>
              </w:rPr>
            </w:pPr>
          </w:p>
        </w:tc>
        <w:tc>
          <w:tcPr>
            <w:tcW w:w="102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MidOcean Credit CLO IX</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i w:val="1"/>
                <w:iCs w:val="1"/>
                <w:color w:val="auto"/>
              </w:rPr>
              <w:t>Subordinated Notes - Income</w:t>
            </w:r>
            <w:r>
              <w:rPr>
                <w:rFonts w:ascii="Times New Roman" w:cs="Times New Roman" w:eastAsia="Times New Roman" w:hAnsi="Times New Roman"/>
                <w:sz w:val="20"/>
                <w:szCs w:val="20"/>
                <w:i w:val="1"/>
                <w:iCs w:val="1"/>
                <w:color w:val="auto"/>
                <w:vertAlign w:val="superscript"/>
              </w:rPr>
              <w:t>(8)</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6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i w:val="1"/>
                <w:iCs w:val="1"/>
                <w:color w:val="auto"/>
              </w:rPr>
              <w:t>(10)</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jc w:val="center"/>
              <w:ind w:right="100"/>
              <w:spacing w:after="0" w:line="156" w:lineRule="exact"/>
              <w:rPr>
                <w:sz w:val="20"/>
                <w:szCs w:val="20"/>
                <w:color w:val="auto"/>
              </w:rPr>
            </w:pPr>
            <w:r>
              <w:rPr>
                <w:rFonts w:ascii="Times New Roman" w:cs="Times New Roman" w:eastAsia="Times New Roman" w:hAnsi="Times New Roman"/>
                <w:sz w:val="18"/>
                <w:szCs w:val="18"/>
                <w:color w:val="auto"/>
              </w:rPr>
              <w:t>N/A</w:t>
            </w:r>
          </w:p>
        </w:tc>
        <w:tc>
          <w:tcPr>
            <w:tcW w:w="92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11/21/2018</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rPr>
              <w:t>7/20/2031</w:t>
            </w: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3,000,000</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1,364,703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Mountain CLO 2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4/1/2025</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4/15/2034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6,904,421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5,958,453</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Niagara Park CLO,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11/8/2019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1/17/2038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3,111,421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2,320,803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Northwoods Capital XI-B,</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3/31/2025</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7/19/2037</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34,632,954</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7,469,556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7,753,820</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OCP CLO 2017-14,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9.81%</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9/24/2024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7/20/2037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4,243,245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2,604,954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 Blue CLO 2022-I,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3/18/2025</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10/20/2037</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6,231,551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4,889,258</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Park Blue CLO 2022-II,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11.62%</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9/27/2024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7/20/2037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3,239,319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2,060,256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 Blue CLO 2023-3,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7/9/2025</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4/20/2038</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8,191,775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7,141,543</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57"/>
        </w:trPr>
        <w:tc>
          <w:tcPr>
            <w:tcW w:w="2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PPM CLO 2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10/15/2024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4/16/2037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207,207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bl>
    <w:p>
      <w:pPr>
        <w:sectPr>
          <w:pgSz w:w="11900" w:h="16838" w:orient="portrait"/>
          <w:cols w:equalWidth="0" w:num="1">
            <w:col w:w="11180"/>
          </w:cols>
          <w:pgMar w:left="360" w:top="999" w:right="3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and</w:t>
            </w: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Spread Above</w:t>
            </w:r>
          </w:p>
        </w:tc>
        <w:tc>
          <w:tcPr>
            <w:tcW w:w="10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2540" w:type="dxa"/>
            <w:vAlign w:val="bottom"/>
            <w:gridSpan w:val="2"/>
            <w:vMerge w:val="continue"/>
          </w:tcPr>
          <w:p>
            <w:pPr>
              <w:spacing w:after="0"/>
              <w:rPr>
                <w:sz w:val="15"/>
                <w:szCs w:val="15"/>
                <w:color w:val="auto"/>
              </w:rPr>
            </w:pPr>
          </w:p>
        </w:tc>
        <w:tc>
          <w:tcPr>
            <w:tcW w:w="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/Effective</w:t>
            </w:r>
          </w:p>
        </w:tc>
        <w:tc>
          <w:tcPr>
            <w:tcW w:w="132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Acquisition</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1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23"/>
                <w:szCs w:val="23"/>
                <w:b w:val="1"/>
                <w:bCs w:val="1"/>
                <w:color w:val="auto"/>
                <w:vertAlign w:val="superscript"/>
              </w:rPr>
              <w:t>(5)</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23"/>
                <w:szCs w:val="23"/>
                <w:b w:val="1"/>
                <w:bCs w:val="1"/>
                <w:color w:val="auto"/>
                <w:vertAlign w:val="superscript"/>
              </w:rPr>
              <w:t>(1)(2)</w:t>
            </w:r>
          </w:p>
        </w:tc>
        <w:tc>
          <w:tcPr>
            <w:tcW w:w="8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1"/>
              </w:rPr>
              <w:t>Yield</w:t>
            </w:r>
            <w:r>
              <w:rPr>
                <w:rFonts w:ascii="Times New Roman" w:cs="Times New Roman" w:eastAsia="Times New Roman" w:hAnsi="Times New Roman"/>
                <w:sz w:val="23"/>
                <w:szCs w:val="23"/>
                <w:b w:val="1"/>
                <w:bCs w:val="1"/>
                <w:color w:val="auto"/>
                <w:w w:val="91"/>
                <w:vertAlign w:val="superscript"/>
              </w:rPr>
              <w:t>(3)</w:t>
            </w:r>
          </w:p>
        </w:tc>
        <w:tc>
          <w:tcPr>
            <w:tcW w:w="13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3"/>
              </w:rPr>
              <w:t>Index</w:t>
            </w:r>
            <w:r>
              <w:rPr>
                <w:rFonts w:ascii="Times New Roman" w:cs="Times New Roman" w:eastAsia="Times New Roman" w:hAnsi="Times New Roman"/>
                <w:sz w:val="23"/>
                <w:szCs w:val="23"/>
                <w:b w:val="1"/>
                <w:bCs w:val="1"/>
                <w:color w:val="auto"/>
                <w:w w:val="93"/>
                <w:vertAlign w:val="superscript"/>
              </w:rPr>
              <w:t>(4)</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gridSpan w:val="2"/>
            <w:vMerge w:val="continue"/>
          </w:tcPr>
          <w:p>
            <w:pPr>
              <w:spacing w:after="0"/>
              <w:rPr>
                <w:sz w:val="21"/>
                <w:szCs w:val="2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gridSpan w:val="2"/>
            <w:vMerge w:val="continue"/>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Regatta XIX Funding Ltd.</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11/7/2025</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10/20/2038</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607,771</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575,709</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Rockford Tower CLO 2019-1,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2.52%</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8/25/2023</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4/20/2034</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2,193,654</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1,079,533</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5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Rockford Tower CLO 2025-1,</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3/7/2025</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3/31/2038</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5,961,857</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5,778,877</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Signal Peak CLO 7,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2/4/2025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10/20/2037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5,674,500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2,786,600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1,829,278</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 Point CLO IV-R,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(7)(8)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11/2/2018</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4/18/2031</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599,847</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Steele Creek CLO 2022-1,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5.29%</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3/28/2022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4/15/2038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6,339,779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3,746,711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1,459,941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Trimaran CAVU 2021-2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8/20/2024</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10/25/2034</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833,114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633,859</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Trinitas CLO VIII,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(7)(8)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4/28/2021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7/20/2117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1,248,940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Vibrant CLO X, Ltd.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(8)(10)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5/23/2019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10/20/2031</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2,720,176</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Vibrant CLO XIII, Ltd.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6/3/2021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1/15/2038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3,734,717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2,179,557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bl>
    <w:p>
      <w:pPr>
        <w:sectPr>
          <w:pgSz w:w="11900" w:h="16838" w:orient="portrait"/>
          <w:cols w:equalWidth="0" w:num="1">
            <w:col w:w="11180"/>
          </w:cols>
          <w:pgMar w:left="360" w:top="999" w:right="35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and</w:t>
            </w:r>
          </w:p>
        </w:tc>
        <w:tc>
          <w:tcPr>
            <w:tcW w:w="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Spread Above</w:t>
            </w:r>
          </w:p>
        </w:tc>
        <w:tc>
          <w:tcPr>
            <w:tcW w:w="10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15"/>
                <w:szCs w:val="15"/>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2460" w:type="dxa"/>
            <w:vAlign w:val="bottom"/>
            <w:gridSpan w:val="2"/>
            <w:vMerge w:val="continue"/>
          </w:tcPr>
          <w:p>
            <w:pPr>
              <w:spacing w:after="0"/>
              <w:rPr>
                <w:sz w:val="15"/>
                <w:szCs w:val="15"/>
                <w:color w:val="auto"/>
              </w:rPr>
            </w:pPr>
          </w:p>
        </w:tc>
        <w:tc>
          <w:tcPr>
            <w:tcW w:w="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/Effective</w:t>
            </w:r>
          </w:p>
        </w:tc>
        <w:tc>
          <w:tcPr>
            <w:tcW w:w="130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Acquisition</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23"/>
                <w:szCs w:val="23"/>
                <w:b w:val="1"/>
                <w:bCs w:val="1"/>
                <w:color w:val="auto"/>
                <w:vertAlign w:val="superscript"/>
              </w:rPr>
              <w:t>(5)</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23"/>
                <w:szCs w:val="23"/>
                <w:b w:val="1"/>
                <w:bCs w:val="1"/>
                <w:color w:val="auto"/>
                <w:vertAlign w:val="superscript"/>
              </w:rPr>
              <w:t>(1)(2)</w:t>
            </w:r>
          </w:p>
        </w:tc>
        <w:tc>
          <w:tcPr>
            <w:tcW w:w="86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18"/>
                <w:szCs w:val="18"/>
                <w:b w:val="1"/>
                <w:bCs w:val="1"/>
                <w:color w:val="auto"/>
                <w:w w:val="91"/>
              </w:rPr>
              <w:t>Yield</w:t>
            </w:r>
            <w:r>
              <w:rPr>
                <w:rFonts w:ascii="Times New Roman" w:cs="Times New Roman" w:eastAsia="Times New Roman" w:hAnsi="Times New Roman"/>
                <w:sz w:val="23"/>
                <w:szCs w:val="23"/>
                <w:b w:val="1"/>
                <w:bCs w:val="1"/>
                <w:color w:val="auto"/>
                <w:w w:val="91"/>
                <w:vertAlign w:val="superscript"/>
              </w:rPr>
              <w:t>(3)</w:t>
            </w:r>
          </w:p>
        </w:tc>
        <w:tc>
          <w:tcPr>
            <w:tcW w:w="13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18"/>
                <w:szCs w:val="18"/>
                <w:b w:val="1"/>
                <w:bCs w:val="1"/>
                <w:color w:val="auto"/>
                <w:w w:val="93"/>
              </w:rPr>
              <w:t>Index</w:t>
            </w:r>
            <w:r>
              <w:rPr>
                <w:rFonts w:ascii="Times New Roman" w:cs="Times New Roman" w:eastAsia="Times New Roman" w:hAnsi="Times New Roman"/>
                <w:sz w:val="23"/>
                <w:szCs w:val="23"/>
                <w:b w:val="1"/>
                <w:bCs w:val="1"/>
                <w:color w:val="auto"/>
                <w:w w:val="93"/>
                <w:vertAlign w:val="superscript"/>
              </w:rPr>
              <w:t>(4)</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160" w:type="dxa"/>
            <w:vAlign w:val="bottom"/>
            <w:gridSpan w:val="3"/>
            <w:vMerge w:val="continue"/>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Vibrant CLO XV, Ltd.</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8/21/2023</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1/20/2035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2,383,342</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1,783,021</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 CLO 2017-4, Ltd.</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(8)(10)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10/5/2018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10/15/2030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 CLO 2024-7, Ltd.</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16.44%</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1/7/2025</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1/20/2038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17,475,000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15,459,806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13,571,448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Wellfleet CLO 2021-1, Ltd.</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4/20/2034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1,618,684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1,360,125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Wildwood Park CLO, Ltd.</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14.73%</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11/5/2024</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10/20/2037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4,120,131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3,312,359</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Zais CLO 3, Limited</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i w:val="1"/>
                <w:iCs w:val="1"/>
                <w:color w:val="auto"/>
              </w:rPr>
              <w:t>Subordinated Notes - Income</w:t>
            </w:r>
            <w:r>
              <w:rPr>
                <w:rFonts w:ascii="Times New Roman" w:cs="Times New Roman" w:eastAsia="Times New Roman" w:hAnsi="Times New Roman"/>
                <w:sz w:val="20"/>
                <w:szCs w:val="20"/>
                <w:i w:val="1"/>
                <w:iCs w:val="1"/>
                <w:color w:val="auto"/>
                <w:vertAlign w:val="superscript"/>
              </w:rPr>
              <w:t>(7)</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8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i w:val="1"/>
                <w:iCs w:val="1"/>
                <w:color w:val="auto"/>
              </w:rPr>
              <w:t>(8)</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jc w:val="center"/>
              <w:ind w:right="100"/>
              <w:spacing w:after="0" w:line="156" w:lineRule="exact"/>
              <w:rPr>
                <w:sz w:val="20"/>
                <w:szCs w:val="20"/>
                <w:color w:val="auto"/>
              </w:rPr>
            </w:pPr>
            <w:r>
              <w:rPr>
                <w:rFonts w:ascii="Times New Roman" w:cs="Times New Roman" w:eastAsia="Times New Roman" w:hAnsi="Times New Roman"/>
                <w:sz w:val="18"/>
                <w:szCs w:val="18"/>
                <w:color w:val="auto"/>
              </w:rPr>
              <w:t>N/A</w:t>
            </w:r>
          </w:p>
        </w:tc>
        <w:tc>
          <w:tcPr>
            <w:tcW w:w="9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10/10/2018</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7/15/2031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1,038,255</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491,947</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23"/>
                <w:szCs w:val="23"/>
                <w:i w:val="1"/>
                <w:iCs w:val="1"/>
                <w:color w:val="auto"/>
                <w:vertAlign w:val="superscript"/>
              </w:rPr>
              <w:t>(7)(8)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10/10/2018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7/15/2031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1,761,745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1,326,606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23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CLO Equity Securities</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560,612,653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318,497,792</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222,525,060</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175.6 %</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Loan Accumulation</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Facilities</w:t>
            </w:r>
            <w:r>
              <w:rPr>
                <w:rFonts w:ascii="Times New Roman" w:cs="Times New Roman" w:eastAsia="Times New Roman" w:hAnsi="Times New Roman"/>
                <w:sz w:val="23"/>
                <w:szCs w:val="23"/>
                <w:b w:val="1"/>
                <w:bCs w:val="1"/>
                <w:color w:val="auto"/>
                <w:vertAlign w:val="superscript"/>
              </w:rPr>
              <w:t>(11)</w:t>
            </w: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Dryden 128 CLO, Ltd.</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Loan Accumulation Facility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6/2/2025</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11/22/2026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4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Fortress Credit Opportunities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XXVII CLO B LLC</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Loan Accumulation Facility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1/27/2025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8,518,880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8,518,880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8,518,880</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70"/>
        </w:trPr>
        <w:tc>
          <w:tcPr>
            <w:tcW w:w="23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4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Total Loan Accumulation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11,518,880</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11,518,880</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11,518,880</w:t>
            </w:r>
          </w:p>
        </w:tc>
        <w:tc>
          <w:tcPr>
            <w:tcW w:w="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9.1 %</w:t>
            </w:r>
          </w:p>
        </w:tc>
        <w:tc>
          <w:tcPr>
            <w:tcW w:w="0" w:type="dxa"/>
            <w:vAlign w:val="bottom"/>
          </w:tcPr>
          <w:p>
            <w:pPr>
              <w:spacing w:after="0"/>
              <w:rPr>
                <w:sz w:val="1"/>
                <w:szCs w:val="1"/>
                <w:color w:val="auto"/>
              </w:rPr>
            </w:pPr>
          </w:p>
        </w:tc>
      </w:tr>
      <w:tr>
        <w:trPr>
          <w:trHeight w:val="248"/>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999" w:right="359" w:bottom="1440" w:gutter="0" w:footer="0" w:header="0"/>
        </w:sectPr>
      </w:pPr>
    </w:p>
    <w:bookmarkStart w:id="16" w:name="page17"/>
    <w:bookmarkEnd w:id="16"/>
    <w:p>
      <w:pPr>
        <w:spacing w:after="0" w:line="1"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and</w:t>
            </w:r>
          </w:p>
        </w:tc>
        <w:tc>
          <w:tcPr>
            <w:tcW w:w="8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Spread Above</w:t>
            </w:r>
          </w:p>
        </w:tc>
        <w:tc>
          <w:tcPr>
            <w:tcW w:w="10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15"/>
                <w:szCs w:val="15"/>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2460" w:type="dxa"/>
            <w:vAlign w:val="bottom"/>
            <w:gridSpan w:val="2"/>
            <w:vMerge w:val="continue"/>
          </w:tcPr>
          <w:p>
            <w:pPr>
              <w:spacing w:after="0"/>
              <w:rPr>
                <w:sz w:val="15"/>
                <w:szCs w:val="15"/>
                <w:color w:val="auto"/>
              </w:rPr>
            </w:pPr>
          </w:p>
        </w:tc>
        <w:tc>
          <w:tcPr>
            <w:tcW w:w="8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/Effective</w:t>
            </w:r>
          </w:p>
        </w:tc>
        <w:tc>
          <w:tcPr>
            <w:tcW w:w="1280" w:type="dxa"/>
            <w:vAlign w:val="bottom"/>
            <w:gridSpan w:val="2"/>
            <w:vMerge w:val="continue"/>
          </w:tcPr>
          <w:p>
            <w:pPr>
              <w:spacing w:after="0"/>
              <w:rPr>
                <w:sz w:val="15"/>
                <w:szCs w:val="15"/>
                <w:color w:val="auto"/>
              </w:rPr>
            </w:pPr>
          </w:p>
        </w:tc>
        <w:tc>
          <w:tcPr>
            <w:tcW w:w="10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Acquisition</w:t>
            </w:r>
          </w:p>
        </w:tc>
        <w:tc>
          <w:tcPr>
            <w:tcW w:w="1180" w:type="dxa"/>
            <w:vAlign w:val="bottom"/>
            <w:gridSpan w:val="3"/>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23"/>
                <w:szCs w:val="23"/>
                <w:b w:val="1"/>
                <w:bCs w:val="1"/>
                <w:color w:val="auto"/>
                <w:vertAlign w:val="superscript"/>
              </w:rPr>
              <w:t>(5)</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23"/>
                <w:szCs w:val="23"/>
                <w:b w:val="1"/>
                <w:bCs w:val="1"/>
                <w:color w:val="auto"/>
                <w:vertAlign w:val="superscript"/>
              </w:rPr>
              <w:t>(1)(2)</w:t>
            </w:r>
          </w:p>
        </w:tc>
        <w:tc>
          <w:tcPr>
            <w:tcW w:w="8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1"/>
              </w:rPr>
              <w:t>Yield</w:t>
            </w:r>
            <w:r>
              <w:rPr>
                <w:rFonts w:ascii="Times New Roman" w:cs="Times New Roman" w:eastAsia="Times New Roman" w:hAnsi="Times New Roman"/>
                <w:sz w:val="23"/>
                <w:szCs w:val="23"/>
                <w:b w:val="1"/>
                <w:bCs w:val="1"/>
                <w:color w:val="auto"/>
                <w:w w:val="91"/>
                <w:vertAlign w:val="superscript"/>
              </w:rPr>
              <w:t>(3)</w:t>
            </w:r>
          </w:p>
        </w:tc>
        <w:tc>
          <w:tcPr>
            <w:tcW w:w="128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3"/>
              </w:rPr>
              <w:t>Index</w:t>
            </w:r>
            <w:r>
              <w:rPr>
                <w:rFonts w:ascii="Times New Roman" w:cs="Times New Roman" w:eastAsia="Times New Roman" w:hAnsi="Times New Roman"/>
                <w:sz w:val="23"/>
                <w:szCs w:val="23"/>
                <w:b w:val="1"/>
                <w:bCs w:val="1"/>
                <w:color w:val="auto"/>
                <w:w w:val="93"/>
                <w:vertAlign w:val="superscript"/>
              </w:rPr>
              <w:t>(4)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80" w:type="dxa"/>
            <w:vAlign w:val="bottom"/>
            <w:gridSpan w:val="3"/>
            <w:vMerge w:val="continue"/>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160" w:type="dxa"/>
            <w:vAlign w:val="bottom"/>
            <w:gridSpan w:val="3"/>
            <w:vMerge w:val="continue"/>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0" w:type="dxa"/>
            <w:vAlign w:val="bottom"/>
          </w:tcPr>
          <w:p>
            <w:pPr>
              <w:spacing w:after="0"/>
              <w:rPr>
                <w:sz w:val="1"/>
                <w:szCs w:val="1"/>
                <w:color w:val="auto"/>
              </w:rPr>
            </w:pPr>
          </w:p>
        </w:tc>
      </w:tr>
      <w:tr>
        <w:trPr>
          <w:trHeight w:val="250"/>
        </w:trPr>
        <w:tc>
          <w:tcPr>
            <w:tcW w:w="2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 CLO equity-related</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CLO other</w:t>
            </w:r>
            <w:r>
              <w:rPr>
                <w:rFonts w:ascii="Times New Roman" w:cs="Times New Roman" w:eastAsia="Times New Roman" w:hAnsi="Times New Roman"/>
                <w:sz w:val="23"/>
                <w:szCs w:val="23"/>
                <w:i w:val="1"/>
                <w:iCs w:val="1"/>
                <w:color w:val="auto"/>
                <w:vertAlign w:val="superscript"/>
              </w:rPr>
              <w:t>(9)</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17.53%</w:t>
            </w:r>
          </w:p>
        </w:tc>
        <w:tc>
          <w:tcPr>
            <w:tcW w:w="80" w:type="dxa"/>
            <w:vAlign w:val="bottom"/>
          </w:tcPr>
          <w:p>
            <w:pPr>
              <w:spacing w:after="0"/>
              <w:rPr>
                <w:sz w:val="19"/>
                <w:szCs w:val="19"/>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1,368,728</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1,824,200</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572,182,908</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331,435,941</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235,917,860</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186.1 %</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First American Treasury</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Obligations Fund Class Z</w:t>
            </w:r>
            <w:r>
              <w:rPr>
                <w:rFonts w:ascii="Times New Roman" w:cs="Times New Roman" w:eastAsia="Times New Roman" w:hAnsi="Times New Roman"/>
                <w:sz w:val="23"/>
                <w:szCs w:val="23"/>
                <w:color w:val="auto"/>
                <w:vertAlign w:val="superscript"/>
              </w:rPr>
              <w:t>(13)</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7,061,304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7,061,304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7,061,304</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70"/>
        </w:trPr>
        <w:tc>
          <w:tcPr>
            <w:tcW w:w="23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4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Total Investments and Cash</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579,244,212</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338,497,245</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242,979,164</w:t>
            </w:r>
          </w:p>
        </w:tc>
        <w:tc>
          <w:tcPr>
            <w:tcW w:w="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191.7 %</w:t>
            </w:r>
          </w:p>
        </w:tc>
        <w:tc>
          <w:tcPr>
            <w:tcW w:w="0" w:type="dxa"/>
            <w:vAlign w:val="bottom"/>
          </w:tcPr>
          <w:p>
            <w:pPr>
              <w:spacing w:after="0"/>
              <w:rPr>
                <w:sz w:val="1"/>
                <w:szCs w:val="1"/>
                <w:color w:val="auto"/>
              </w:rPr>
            </w:pPr>
          </w:p>
        </w:tc>
      </w:tr>
      <w:tr>
        <w:trPr>
          <w:trHeight w:val="236"/>
        </w:trPr>
        <w:tc>
          <w:tcPr>
            <w:tcW w:w="2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3"/>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12" w:right="260" w:hanging="412"/>
        <w:spacing w:after="0" w:line="266" w:lineRule="auto"/>
        <w:tabs>
          <w:tab w:leader="none" w:pos="3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are generally subject to certain limitations on resale, and may be deemed to be “restricted securities” under the Securities Act of 1933, as amended.</w:t>
      </w:r>
    </w:p>
    <w:p>
      <w:pPr>
        <w:jc w:val="both"/>
        <w:ind w:left="412" w:hanging="412"/>
        <w:spacing w:after="0" w:line="242" w:lineRule="auto"/>
        <w:tabs>
          <w:tab w:leader="none" w:pos="3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“control” and is not an “affiliate” of any of its portfolio investments, each as defined in the Investment Company Act of 1940, as amended (the “1940 Act”). In general, under the 1940 Act, the Company would be presumed to “control” a portfolio investment if it owned 25% or more of its voting securities and would be an “affiliate” of a portfolio investment if the Company owned 5% or more of its voting securities.</w:t>
      </w:r>
    </w:p>
    <w:p>
      <w:pPr>
        <w:spacing w:after="0" w:line="21" w:lineRule="exact"/>
        <w:rPr>
          <w:rFonts w:ascii="Times New Roman" w:cs="Times New Roman" w:eastAsia="Times New Roman" w:hAnsi="Times New Roman"/>
          <w:sz w:val="18"/>
          <w:szCs w:val="18"/>
          <w:color w:val="auto"/>
        </w:rPr>
      </w:pPr>
    </w:p>
    <w:p>
      <w:pPr>
        <w:ind w:left="412" w:right="60" w:hanging="412"/>
        <w:spacing w:after="0" w:line="233" w:lineRule="auto"/>
        <w:tabs>
          <w:tab w:leader="none" w:pos="3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disclosed on collateralized loan obligation (“CLO”) equity and equity-related securities is the estimated effective yield, generally established at purchase, and re-evaluated upon the receipt of the initial distribution and each subsequent quarter thereafter. The estimated effective yield is based upon projected amounts and timing of future distributions and the projected amounts and timing of terminal principal payments at the time of estimation. The estimated effective yield and investment cost may ultimately not be realized. Projected cash flows, including the amounts and timing of terminal principal payments, which generally are projected to occur prior to the contractual maturity date, were utilized in deriving the effective yield of the investments. The rates disclosed on CLO debt securities reflect the contractual interest rate, and exclude yield related to accretion of discounts. The rate disclosed on Loan Accumulation Facilities (as defined in footnote 11 below) represents the estimated yield to be earned on the investment through estimated redemption. As of January 31, 2026, the Company’s weighted-average effective yield on its total investments, based on current amortized cost, was 12.39% (excludes discount accretion on CLO debt investments). Excluding optionally redeemed CLOs, the weighted average effective yield on total investments, based on current amortized cost, was 12.77%.</w:t>
      </w:r>
    </w:p>
    <w:p>
      <w:pPr>
        <w:spacing w:after="0" w:line="15" w:lineRule="exact"/>
        <w:rPr>
          <w:rFonts w:ascii="Times New Roman" w:cs="Times New Roman" w:eastAsia="Times New Roman" w:hAnsi="Times New Roman"/>
          <w:sz w:val="18"/>
          <w:szCs w:val="18"/>
          <w:color w:val="auto"/>
        </w:rPr>
      </w:pPr>
    </w:p>
    <w:p>
      <w:pPr>
        <w:ind w:left="412" w:right="440" w:hanging="412"/>
        <w:spacing w:after="0" w:line="258" w:lineRule="auto"/>
        <w:tabs>
          <w:tab w:leader="none" w:pos="3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debt securities generally bear interest at a rate determined by reference to three-month Secured Overnight Financing Rate (“SOFR”) which resets quarterly. The rate provided for each CLO debt security is as of period end, if applicable.</w:t>
      </w:r>
    </w:p>
    <w:p>
      <w:pPr>
        <w:ind w:left="412" w:right="340" w:hanging="412"/>
        <w:spacing w:after="0" w:line="265" w:lineRule="auto"/>
        <w:tabs>
          <w:tab w:leader="none" w:pos="39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all investments was determined in good faith by OFS Capital Management, LLC (the Company’s investment adviser) using significant, unobservable inputs. The fair value of the investments may differ significantly from the values that would have been used had a ready market or observable inputs existed for such investments and may differ materially from the values that may ultimately be received or settled.</w:t>
      </w:r>
    </w:p>
    <w:p>
      <w:pPr>
        <w:ind w:left="412" w:hanging="412"/>
        <w:spacing w:after="0" w:line="250" w:lineRule="auto"/>
        <w:tabs>
          <w:tab w:leader="none" w:pos="3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notes and income notes are considered CLO equity securities. CLO equity securities are entitled to recurring distributions, which are generally equal to the residual cash flow payments made by underlying securities of the CLO less contractual payments to debt holders and CLO-fund expenses, subject to compliance with coverage tests and other provisions of the respective CLO indenture, as applicable.</w:t>
      </w:r>
    </w:p>
    <w:p>
      <w:pPr>
        <w:spacing w:after="0" w:line="1" w:lineRule="exact"/>
        <w:rPr>
          <w:rFonts w:ascii="Times New Roman" w:cs="Times New Roman" w:eastAsia="Times New Roman" w:hAnsi="Times New Roman"/>
          <w:sz w:val="18"/>
          <w:szCs w:val="18"/>
          <w:color w:val="auto"/>
        </w:rPr>
      </w:pPr>
    </w:p>
    <w:p>
      <w:pPr>
        <w:ind w:left="412" w:right="20" w:hanging="412"/>
        <w:spacing w:after="0" w:line="258" w:lineRule="auto"/>
        <w:tabs>
          <w:tab w:leader="none" w:pos="38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31, 2026, the effective accretable yield has been estimated to be 0%, as the aggregate amount of projected distributions, including projected distributions related to liquidation of the underlying portfolio upon the security’s anticipated redemption, is less than current amortized cost. Projected distributions are monitored and re-evaluated quarterly. All actual distributions received will be recognized as reductions to amortized cost until such time, if and when occurring, a future aggregate amount of then-projected distributions exceeds the security’s then-current amortized cost.</w:t>
      </w:r>
    </w:p>
    <w:p>
      <w:pPr>
        <w:sectPr>
          <w:pgSz w:w="11900" w:h="16838" w:orient="portrait"/>
          <w:cols w:equalWidth="0" w:num="1">
            <w:col w:w="11232"/>
          </w:cols>
          <w:pgMar w:left="328" w:top="999" w:right="339" w:bottom="1440" w:gutter="0" w:footer="0" w:header="0"/>
        </w:sectPr>
      </w:pPr>
    </w:p>
    <w:bookmarkStart w:id="17" w:name="page18"/>
    <w:bookmarkEnd w:id="17"/>
    <w:p>
      <w:pPr>
        <w:ind w:left="392" w:hanging="392"/>
        <w:spacing w:after="0"/>
        <w:tabs>
          <w:tab w:leader="none" w:pos="39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Non-income producing. The Company has not recognized income on the security during the prior twelve-month period preceding the period-end date.</w:t>
      </w:r>
    </w:p>
    <w:p>
      <w:pPr>
        <w:spacing w:after="0" w:line="61" w:lineRule="exact"/>
        <w:rPr>
          <w:rFonts w:ascii="Times New Roman" w:cs="Times New Roman" w:eastAsia="Times New Roman" w:hAnsi="Times New Roman"/>
          <w:sz w:val="17"/>
          <w:szCs w:val="17"/>
          <w:color w:val="auto"/>
        </w:rPr>
      </w:pPr>
    </w:p>
    <w:p>
      <w:pPr>
        <w:ind w:left="392" w:hanging="392"/>
        <w:spacing w:after="0"/>
        <w:tabs>
          <w:tab w:leader="none" w:pos="3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represents discounted cash flows associated with fee rebates earned from CLO equity-related investments.</w:t>
      </w:r>
    </w:p>
    <w:p>
      <w:pPr>
        <w:spacing w:after="0" w:line="36" w:lineRule="exact"/>
        <w:rPr>
          <w:rFonts w:ascii="Times New Roman" w:cs="Times New Roman" w:eastAsia="Times New Roman" w:hAnsi="Times New Roman"/>
          <w:sz w:val="18"/>
          <w:szCs w:val="18"/>
          <w:color w:val="auto"/>
        </w:rPr>
      </w:pPr>
    </w:p>
    <w:p>
      <w:pPr>
        <w:ind w:left="412" w:right="160" w:hanging="412"/>
        <w:spacing w:after="0"/>
        <w:tabs>
          <w:tab w:leader="none" w:pos="4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2026, the investment has been optionally redeemed and is in the process of liquidating. Commencing on the optional redemption date, the Company stops accruing interest income and remaining residual distributions are recognized as a return of capital up to the amount of current amortized cost, and realized gain for any amounts received in excess of current amortized cost, if applicable. CLO equity securities which have been optionally redeemed are realized when the deal has been fully liquidated and discharged.</w:t>
      </w:r>
    </w:p>
    <w:p>
      <w:pPr>
        <w:spacing w:after="0" w:line="22" w:lineRule="exact"/>
        <w:rPr>
          <w:rFonts w:ascii="Times New Roman" w:cs="Times New Roman" w:eastAsia="Times New Roman" w:hAnsi="Times New Roman"/>
          <w:sz w:val="18"/>
          <w:szCs w:val="18"/>
          <w:color w:val="auto"/>
        </w:rPr>
      </w:pPr>
    </w:p>
    <w:p>
      <w:pPr>
        <w:ind w:left="412" w:right="20" w:hanging="412"/>
        <w:spacing w:after="0" w:line="236"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Accumulation Facilities” are financing structures intended to aggregate loans that are expected to form part of the portfolio of a future CLO. Investments in Loan Accumulation Facilities generally earn returns equal to the actual income earned on facility assets less costs and fees incurred on senior financing and manager costs. Income and return of capital distributions from investments in Loan Accumulation Facilities are generally received upon the earlier of the closing of the CLO securitization or liquidation of the underlying portfolio.</w:t>
      </w:r>
    </w:p>
    <w:p>
      <w:pPr>
        <w:spacing w:after="0" w:line="2" w:lineRule="exact"/>
        <w:rPr>
          <w:rFonts w:ascii="Times New Roman" w:cs="Times New Roman" w:eastAsia="Times New Roman" w:hAnsi="Times New Roman"/>
          <w:sz w:val="18"/>
          <w:szCs w:val="18"/>
          <w:color w:val="auto"/>
        </w:rPr>
      </w:pPr>
    </w:p>
    <w:p>
      <w:pPr>
        <w:ind w:left="412" w:right="220" w:hanging="412"/>
        <w:spacing w:after="0" w:line="233" w:lineRule="auto"/>
        <w:tabs>
          <w:tab w:leader="none" w:pos="4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zero-coupon CLO debt security that does not have a contractual interest rate. The Company earns interest income on the accretion of the discount over the expected life of the security.</w:t>
      </w:r>
    </w:p>
    <w:p>
      <w:pPr>
        <w:spacing w:after="0" w:line="23" w:lineRule="exact"/>
        <w:rPr>
          <w:rFonts w:ascii="Times New Roman" w:cs="Times New Roman" w:eastAsia="Times New Roman" w:hAnsi="Times New Roman"/>
          <w:sz w:val="18"/>
          <w:szCs w:val="18"/>
          <w:color w:val="auto"/>
        </w:rPr>
      </w:pPr>
    </w:p>
    <w:p>
      <w:pPr>
        <w:ind w:left="412" w:right="80" w:hanging="412"/>
        <w:spacing w:after="0" w:line="266" w:lineRule="auto"/>
        <w:tabs>
          <w:tab w:leader="none" w:pos="4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equivalents held in a money market fund as of January 31, 2026. The Company also had cash deposits of $20,883 as of January 31, 2026.</w:t>
      </w:r>
    </w:p>
    <w:sectPr>
      <w:pgSz w:w="11900" w:h="16838" w:orient="portrait"/>
      <w:cols w:equalWidth="0" w:num="1">
        <w:col w:w="11212"/>
      </w:cols>
      <w:pgMar w:left="328" w:top="87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2026-03-16T16:14:33Z</dcterms:created>
  <dcterms:modified xsi:type="dcterms:W3CDTF">2026-03-16T16:14:33Z</dcterms:modified>
</cp:coreProperties>
</file>