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9</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OFS Credit Company,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Preferred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KARPUS MANAGEMENT,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NEW YORK</w:t>
      </w:r>
    </w:p>
    <w:p>
      <w:pPr>
        <w:sectPr>
          <w:pgSz w:w="11900" w:h="16838" w:orient="portrait"/>
          <w:cols w:equalWidth="0" w:num="1">
            <w:col w:w="10099"/>
          </w:cols>
          <w:pgMar w:left="360" w:top="866" w:right="1440" w:bottom="0" w:gutter="0" w:footer="0" w:header="0"/>
        </w:sectPr>
      </w:pPr>
    </w:p>
    <w:bookmarkStart w:id="1" w:name="page2"/>
    <w:bookmarkEnd w:id="1"/>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280" w:right="798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278,005.00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278,005.00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278,005.00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12.30 %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60" w:orient="portrait"/>
          <w:cols w:equalWidth="0" w:num="2">
            <w:col w:w="1060" w:space="60"/>
            <w:col w:w="9880"/>
          </w:cols>
          <w:pgMar w:left="360" w:top="111"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OFS Credit Company,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 South Wacker Drive, Suite 2500, Chicago, IL 60606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40"/>
        <w:spacing w:after="0" w:line="253" w:lineRule="auto"/>
        <w:rPr>
          <w:sz w:val="20"/>
          <w:szCs w:val="20"/>
          <w:color w:val="auto"/>
        </w:rPr>
      </w:pPr>
      <w:r>
        <w:rPr>
          <w:rFonts w:ascii="Times New Roman" w:cs="Times New Roman" w:eastAsia="Times New Roman" w:hAnsi="Times New Roman"/>
          <w:sz w:val="21"/>
          <w:szCs w:val="21"/>
          <w:color w:val="auto"/>
        </w:rPr>
        <w:t>This statement is being filed by Karpus Management, Inc., d/b/a Karpus Investment Management ("Karpus" or the "Reporting Person"). Karpus is a registered investment adviser under Section 203 of the Investment Advisers Act of</w:t>
      </w:r>
    </w:p>
    <w:p>
      <w:pPr>
        <w:spacing w:after="0" w:line="1" w:lineRule="exact"/>
        <w:rPr>
          <w:sz w:val="20"/>
          <w:szCs w:val="20"/>
          <w:color w:val="auto"/>
        </w:rPr>
      </w:pPr>
    </w:p>
    <w:p>
      <w:pPr>
        <w:ind w:left="920" w:hanging="912"/>
        <w:spacing w:after="0" w:line="201"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1940. Karpus is controlled by City of London Investment Group plc ("CLIG"), which is listed on the London Stock Exchange. However, in accordance with SEC Release No. 34-39538 (January 12, 1998), effective informational barriers have been established between Karpus and CLIG such that voting and investment power over the subject securities is exercised by Karpus independently of CLIG, and, accordingly, attribution of beneficial ownership is not required between Karpus and CLIG. The Shares to which this Schedule 13G relates are owned directly by the accounts managed by Karpus.</w:t>
      </w:r>
    </w:p>
    <w:p>
      <w:pPr>
        <w:sectPr>
          <w:pgSz w:w="11900" w:h="16860" w:orient="portrait"/>
          <w:cols w:equalWidth="0" w:num="1">
            <w:col w:w="11000"/>
          </w:cols>
          <w:pgMar w:left="360" w:top="111" w:right="53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183 Sully's Trail, Pittsford, New York 14534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members of the Karpus Management Committee are US citizens. Karpus is a New York corporation.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Preferred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60" w:orient="portrait"/>
          <w:cols w:equalWidth="0" w:num="2">
            <w:col w:w="620" w:space="300"/>
            <w:col w:w="10080"/>
          </w:cols>
          <w:pgMar w:left="360" w:top="111" w:right="539" w:bottom="0" w:gutter="0" w:footer="0" w:header="0"/>
          <w:type w:val="continuous"/>
        </w:sectPr>
      </w:pPr>
    </w:p>
    <w:bookmarkStart w:id="2" w:name="page3"/>
    <w:bookmarkEnd w:id="2"/>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278,005.00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12.30 %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39"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278,005.00</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278,005.00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39"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KARPUS MANAGEMENT, INC.</w:t>
      </w:r>
    </w:p>
    <w:p>
      <w:pPr>
        <w:sectPr>
          <w:pgSz w:w="11900" w:h="16838" w:orient="portrait"/>
          <w:cols w:equalWidth="0" w:num="1">
            <w:col w:w="11140"/>
          </w:cols>
          <w:pgMar w:left="360" w:top="139" w:right="399" w:bottom="0" w:gutter="0" w:footer="0" w:header="0"/>
          <w:type w:val="continuous"/>
        </w:sectPr>
      </w:pPr>
    </w:p>
    <w:bookmarkStart w:id="3" w:name="page4"/>
    <w:bookmarkEnd w:id="3"/>
    <w:p>
      <w:pPr>
        <w:ind w:left="4020"/>
        <w:spacing w:after="0"/>
        <w:tabs>
          <w:tab w:leader="none" w:pos="5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Jodi L. Hedberg</w:t>
      </w:r>
    </w:p>
    <w:p>
      <w:pPr>
        <w:spacing w:after="0" w:line="4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1"/>
          <w:szCs w:val="21"/>
          <w:color w:val="auto"/>
        </w:rPr>
        <w:t>Name/Title: Jodi L. Hedberg / Chief Compliance Officer</w:t>
      </w:r>
    </w:p>
    <w:p>
      <w:pPr>
        <w:spacing w:after="0" w:line="56" w:lineRule="exact"/>
        <w:rPr>
          <w:sz w:val="20"/>
          <w:szCs w:val="20"/>
          <w:color w:val="auto"/>
        </w:rPr>
      </w:pPr>
    </w:p>
    <w:p>
      <w:pPr>
        <w:ind w:left="4020"/>
        <w:spacing w:after="0"/>
        <w:tabs>
          <w:tab w:leader="none" w:pos="5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sectPr>
      <w:pgSz w:w="11900" w:h="16838" w:orient="portrait"/>
      <w:cols w:equalWidth="0" w:num="1">
        <w:col w:w="9019"/>
      </w:cols>
      <w:pgMar w:left="1440" w:top="1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4"/>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2026-05-07T15:17:28Z</dcterms:created>
  <dcterms:modified xsi:type="dcterms:W3CDTF">2026-05-07T15:17:28Z</dcterms:modified>
</cp:coreProperties>
</file>